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3C51" w14:textId="77777777" w:rsidR="007222AE" w:rsidRDefault="007222AE" w:rsidP="007222AE"/>
    <w:p w14:paraId="5BDBF83D" w14:textId="78D49017" w:rsidR="00E63484" w:rsidRPr="00E63484" w:rsidRDefault="00E63484" w:rsidP="00E63484">
      <w:pPr>
        <w:keepNext/>
        <w:spacing w:after="240" w:line="288" w:lineRule="auto"/>
        <w:ind w:left="1080" w:hanging="360"/>
        <w:jc w:val="both"/>
        <w:outlineLvl w:val="0"/>
        <w:rPr>
          <w:rFonts w:ascii="Avenir Next LT Pro" w:eastAsia="MS Gothic" w:hAnsi="Avenir Next LT Pro" w:cs="Times New Roman"/>
          <w:b/>
          <w:smallCaps/>
          <w:color w:val="256D9D"/>
          <w:kern w:val="28"/>
          <w:sz w:val="24"/>
          <w:szCs w:val="32"/>
        </w:rPr>
      </w:pPr>
      <w:r w:rsidRPr="00E63484">
        <w:rPr>
          <w:rFonts w:ascii="Avenir Next LT Pro" w:eastAsia="MS Gothic" w:hAnsi="Avenir Next LT Pro" w:cs="Times New Roman"/>
          <w:b/>
          <w:smallCaps/>
          <w:color w:val="256D9D"/>
          <w:kern w:val="28"/>
          <w:sz w:val="24"/>
          <w:szCs w:val="32"/>
        </w:rPr>
        <w:t>I risultati in sintesi</w:t>
      </w:r>
    </w:p>
    <w:p w14:paraId="20CF32A0"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L’analisi degli aspetti finanziari delle ventinove Unioni messe a confronto ha fatto emergere un quadro variegato, dovuto in parte alla differente dimensione degli stessi Enti, che oscilla da poche unità di personale dipendente alle oltre cento unità, conseguenza del fatto che in alcuni casi si tratta di un processo di trasferimento di servizi e competenze avanzato, che sostituisce in larga parte le funzioni in capo ai Comuni.</w:t>
      </w:r>
    </w:p>
    <w:p w14:paraId="47D5DE45" w14:textId="77777777" w:rsidR="00E63484" w:rsidRPr="00E63484" w:rsidRDefault="00E63484" w:rsidP="00E63484">
      <w:pPr>
        <w:keepNext/>
        <w:spacing w:after="200" w:line="240" w:lineRule="auto"/>
        <w:jc w:val="both"/>
        <w:rPr>
          <w:rFonts w:ascii="Avenir Next LT Pro" w:eastAsia="MS Mincho" w:hAnsi="Avenir Next LT Pro" w:cs="Times New Roman"/>
          <w:i/>
          <w:iCs/>
          <w:color w:val="082A75"/>
          <w:sz w:val="23"/>
          <w:szCs w:val="23"/>
        </w:rPr>
      </w:pPr>
      <w:r w:rsidRPr="00E63484">
        <w:rPr>
          <w:rFonts w:ascii="Avenir Next LT Pro" w:eastAsia="MS Mincho" w:hAnsi="Avenir Next LT Pro" w:cs="Times New Roman"/>
          <w:i/>
          <w:iCs/>
          <w:noProof/>
          <w:color w:val="082A75"/>
          <w:sz w:val="18"/>
          <w:szCs w:val="18"/>
        </w:rPr>
        <w:drawing>
          <wp:anchor distT="0" distB="0" distL="114300" distR="114300" simplePos="0" relativeHeight="251664384" behindDoc="0" locked="0" layoutInCell="1" allowOverlap="1" wp14:anchorId="38E8701F" wp14:editId="48221540">
            <wp:simplePos x="0" y="0"/>
            <wp:positionH relativeFrom="column">
              <wp:posOffset>-349250</wp:posOffset>
            </wp:positionH>
            <wp:positionV relativeFrom="paragraph">
              <wp:posOffset>665480</wp:posOffset>
            </wp:positionV>
            <wp:extent cx="7040880" cy="4259580"/>
            <wp:effectExtent l="0" t="0" r="7620" b="7620"/>
            <wp:wrapTopAndBottom/>
            <wp:docPr id="2" name="Grafico 2">
              <a:extLst xmlns:a="http://schemas.openxmlformats.org/drawingml/2006/main">
                <a:ext uri="{FF2B5EF4-FFF2-40B4-BE49-F238E27FC236}">
                  <a16:creationId xmlns:a16="http://schemas.microsoft.com/office/drawing/2014/main" id="{A4FE3FAC-F5CB-4852-A1EF-74072A7F3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E63484">
        <w:rPr>
          <w:rFonts w:ascii="Avenir Next LT Pro" w:eastAsia="MS Mincho" w:hAnsi="Avenir Next LT Pro" w:cs="Times New Roman"/>
          <w:i/>
          <w:iCs/>
          <w:noProof/>
          <w:color w:val="082A75"/>
          <w:sz w:val="23"/>
          <w:szCs w:val="23"/>
        </w:rPr>
        <mc:AlternateContent>
          <mc:Choice Requires="wps">
            <w:drawing>
              <wp:anchor distT="0" distB="0" distL="114300" distR="114300" simplePos="0" relativeHeight="251662336" behindDoc="0" locked="0" layoutInCell="1" allowOverlap="1" wp14:anchorId="5E9616BC" wp14:editId="3EF30602">
                <wp:simplePos x="0" y="0"/>
                <wp:positionH relativeFrom="margin">
                  <wp:posOffset>-6350</wp:posOffset>
                </wp:positionH>
                <wp:positionV relativeFrom="paragraph">
                  <wp:posOffset>315595</wp:posOffset>
                </wp:positionV>
                <wp:extent cx="6965527" cy="457200"/>
                <wp:effectExtent l="0" t="0" r="6985" b="0"/>
                <wp:wrapTopAndBottom/>
                <wp:docPr id="1" name="Text Box 16"/>
                <wp:cNvGraphicFramePr/>
                <a:graphic xmlns:a="http://schemas.openxmlformats.org/drawingml/2006/main">
                  <a:graphicData uri="http://schemas.microsoft.com/office/word/2010/wordprocessingShape">
                    <wps:wsp>
                      <wps:cNvSpPr txBox="1"/>
                      <wps:spPr>
                        <a:xfrm>
                          <a:off x="0" y="0"/>
                          <a:ext cx="6965527" cy="457200"/>
                        </a:xfrm>
                        <a:prstGeom prst="rect">
                          <a:avLst/>
                        </a:prstGeom>
                        <a:solidFill>
                          <a:prstClr val="white"/>
                        </a:solidFill>
                        <a:ln>
                          <a:noFill/>
                        </a:ln>
                      </wps:spPr>
                      <wps:txbx>
                        <w:txbxContent>
                          <w:p w14:paraId="0BC137FB" w14:textId="77777777" w:rsidR="00E63484" w:rsidRPr="003B1ED5" w:rsidRDefault="00E63484" w:rsidP="00E63484">
                            <w:pPr>
                              <w:pStyle w:val="Didascalia2"/>
                              <w:rPr>
                                <w:noProof/>
                                <w:sz w:val="23"/>
                                <w:szCs w:val="23"/>
                              </w:rPr>
                            </w:pPr>
                            <w:r w:rsidRPr="003B1ED5">
                              <w:rPr>
                                <w:sz w:val="23"/>
                                <w:szCs w:val="23"/>
                              </w:rPr>
                              <w:t xml:space="preserve">Figura </w:t>
                            </w:r>
                            <w:r w:rsidRPr="003B1ED5">
                              <w:rPr>
                                <w:sz w:val="23"/>
                                <w:szCs w:val="23"/>
                              </w:rPr>
                              <w:fldChar w:fldCharType="begin"/>
                            </w:r>
                            <w:r w:rsidRPr="003B1ED5">
                              <w:rPr>
                                <w:sz w:val="23"/>
                                <w:szCs w:val="23"/>
                              </w:rPr>
                              <w:instrText xml:space="preserve"> SEQ Figura \* ARABIC </w:instrText>
                            </w:r>
                            <w:r w:rsidRPr="003B1ED5">
                              <w:rPr>
                                <w:sz w:val="23"/>
                                <w:szCs w:val="23"/>
                              </w:rPr>
                              <w:fldChar w:fldCharType="separate"/>
                            </w:r>
                            <w:r>
                              <w:rPr>
                                <w:noProof/>
                                <w:sz w:val="23"/>
                                <w:szCs w:val="23"/>
                              </w:rPr>
                              <w:t>3</w:t>
                            </w:r>
                            <w:r w:rsidRPr="003B1ED5">
                              <w:rPr>
                                <w:sz w:val="23"/>
                                <w:szCs w:val="23"/>
                              </w:rPr>
                              <w:fldChar w:fldCharType="end"/>
                            </w:r>
                            <w:r w:rsidRPr="003B1ED5">
                              <w:rPr>
                                <w:sz w:val="23"/>
                                <w:szCs w:val="23"/>
                              </w:rPr>
                              <w:t xml:space="preserve">  </w:t>
                            </w:r>
                            <w:r w:rsidRPr="003B1ED5">
                              <w:rPr>
                                <w:rFonts w:eastAsia="Palatino Linotype" w:cs="Palatino Linotype"/>
                                <w:smallCaps/>
                                <w:sz w:val="23"/>
                                <w:szCs w:val="23"/>
                                <w:lang w:eastAsia="it-IT"/>
                              </w:rPr>
                              <w:t xml:space="preserve">Indice di Capacità Amministrativa delle Unioni </w:t>
                            </w:r>
                            <w:r w:rsidRPr="003B1ED5">
                              <w:rPr>
                                <w:rFonts w:eastAsia="Palatino Linotype" w:cs="Palatino Linotype"/>
                                <w:sz w:val="23"/>
                                <w:szCs w:val="23"/>
                                <w:lang w:eastAsia="it-IT"/>
                              </w:rPr>
                              <w:t>– score medio 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9616BC" id="_x0000_t202" coordsize="21600,21600" o:spt="202" path="m,l,21600r21600,l21600,xe">
                <v:stroke joinstyle="miter"/>
                <v:path gradientshapeok="t" o:connecttype="rect"/>
              </v:shapetype>
              <v:shape id="Text Box 16" o:spid="_x0000_s1026" type="#_x0000_t202" style="position:absolute;left:0;text-align:left;margin-left:-.5pt;margin-top:24.85pt;width:548.45pt;height:3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" stroked="f">
                <v:textbox inset="0,0,0,0">
                  <w:txbxContent>
                    <w:p w14:paraId="0BC137FB" w14:textId="77777777" w:rsidR="00E63484" w:rsidRPr="003B1ED5" w:rsidRDefault="00E63484" w:rsidP="00E63484">
                      <w:pPr>
                        <w:pStyle w:val="Didascalia2"/>
                        <w:rPr>
                          <w:noProof/>
                          <w:sz w:val="23"/>
                          <w:szCs w:val="23"/>
                        </w:rPr>
                      </w:pPr>
                      <w:r w:rsidRPr="003B1ED5">
                        <w:rPr>
                          <w:sz w:val="23"/>
                          <w:szCs w:val="23"/>
                        </w:rPr>
                        <w:t xml:space="preserve">Figura </w:t>
                      </w:r>
                      <w:r w:rsidRPr="003B1ED5">
                        <w:rPr>
                          <w:sz w:val="23"/>
                          <w:szCs w:val="23"/>
                        </w:rPr>
                        <w:fldChar w:fldCharType="begin"/>
                      </w:r>
                      <w:r w:rsidRPr="003B1ED5">
                        <w:rPr>
                          <w:sz w:val="23"/>
                          <w:szCs w:val="23"/>
                        </w:rPr>
                        <w:instrText xml:space="preserve"> SEQ Figura \* ARABIC </w:instrText>
                      </w:r>
                      <w:r w:rsidRPr="003B1ED5">
                        <w:rPr>
                          <w:sz w:val="23"/>
                          <w:szCs w:val="23"/>
                        </w:rPr>
                        <w:fldChar w:fldCharType="separate"/>
                      </w:r>
                      <w:r>
                        <w:rPr>
                          <w:noProof/>
                          <w:sz w:val="23"/>
                          <w:szCs w:val="23"/>
                        </w:rPr>
                        <w:t>3</w:t>
                      </w:r>
                      <w:r w:rsidRPr="003B1ED5">
                        <w:rPr>
                          <w:sz w:val="23"/>
                          <w:szCs w:val="23"/>
                        </w:rPr>
                        <w:fldChar w:fldCharType="end"/>
                      </w:r>
                      <w:r w:rsidRPr="003B1ED5">
                        <w:rPr>
                          <w:sz w:val="23"/>
                          <w:szCs w:val="23"/>
                        </w:rPr>
                        <w:t xml:space="preserve">  </w:t>
                      </w:r>
                      <w:r w:rsidRPr="003B1ED5">
                        <w:rPr>
                          <w:rFonts w:eastAsia="Palatino Linotype" w:cs="Palatino Linotype"/>
                          <w:smallCaps/>
                          <w:sz w:val="23"/>
                          <w:szCs w:val="23"/>
                          <w:lang w:eastAsia="it-IT"/>
                        </w:rPr>
                        <w:t xml:space="preserve">Indice di Capacità Amministrativa delle Unioni </w:t>
                      </w:r>
                      <w:r w:rsidRPr="003B1ED5">
                        <w:rPr>
                          <w:rFonts w:eastAsia="Palatino Linotype" w:cs="Palatino Linotype"/>
                          <w:sz w:val="23"/>
                          <w:szCs w:val="23"/>
                          <w:lang w:eastAsia="it-IT"/>
                        </w:rPr>
                        <w:t>– score medio 42</w:t>
                      </w:r>
                    </w:p>
                  </w:txbxContent>
                </v:textbox>
                <w10:wrap type="topAndBottom" anchorx="margin"/>
              </v:shape>
            </w:pict>
          </mc:Fallback>
        </mc:AlternateContent>
      </w:r>
    </w:p>
    <w:p w14:paraId="72BCD51B" w14:textId="77777777" w:rsidR="00E63484" w:rsidRPr="00E63484" w:rsidRDefault="00E63484" w:rsidP="00E63484">
      <w:pPr>
        <w:spacing w:after="60" w:line="288" w:lineRule="auto"/>
        <w:jc w:val="both"/>
        <w:rPr>
          <w:rFonts w:ascii="Avenir Next LT Pro" w:eastAsia="MS Mincho" w:hAnsi="Avenir Next LT Pro" w:cs="Calibri"/>
          <w:sz w:val="20"/>
          <w:szCs w:val="20"/>
        </w:rPr>
      </w:pPr>
      <w:r w:rsidRPr="00E63484">
        <w:rPr>
          <w:rFonts w:ascii="Avenir Next LT Pro" w:eastAsia="MS Mincho" w:hAnsi="Avenir Next LT Pro" w:cs="Calibri"/>
          <w:sz w:val="20"/>
          <w:szCs w:val="20"/>
        </w:rPr>
        <w:t>Fonte: Indice di Capacità Amministrativa 2021</w:t>
      </w:r>
    </w:p>
    <w:p w14:paraId="5148570E" w14:textId="77777777" w:rsidR="00E63484" w:rsidRPr="00E63484" w:rsidRDefault="00E63484" w:rsidP="00E63484">
      <w:pPr>
        <w:spacing w:after="60" w:line="288" w:lineRule="auto"/>
        <w:jc w:val="right"/>
        <w:rPr>
          <w:rFonts w:ascii="Avenir Next LT Pro" w:eastAsia="MS Mincho" w:hAnsi="Avenir Next LT Pro" w:cs="Calibri"/>
          <w:sz w:val="20"/>
          <w:szCs w:val="20"/>
        </w:rPr>
      </w:pPr>
      <w:r w:rsidRPr="00E63484">
        <w:rPr>
          <w:rFonts w:ascii="Avenir Next LT Pro" w:eastAsia="MS Mincho" w:hAnsi="Avenir Next LT Pro" w:cs="Calibri"/>
          <w:noProof/>
          <w:sz w:val="20"/>
          <w:szCs w:val="20"/>
        </w:rPr>
        <w:drawing>
          <wp:inline distT="0" distB="0" distL="0" distR="0" wp14:anchorId="0C3A6128" wp14:editId="36ADFA9F">
            <wp:extent cx="1401534" cy="1468120"/>
            <wp:effectExtent l="0" t="0" r="8255" b="0"/>
            <wp:docPr id="89" name="Immagine 89"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magine 89" descr="Immagine che contiene tavolo&#10;&#10;Descrizione generata automaticamente"/>
                    <pic:cNvPicPr/>
                  </pic:nvPicPr>
                  <pic:blipFill>
                    <a:blip r:embed="rId7"/>
                    <a:stretch>
                      <a:fillRect/>
                    </a:stretch>
                  </pic:blipFill>
                  <pic:spPr>
                    <a:xfrm>
                      <a:off x="0" y="0"/>
                      <a:ext cx="1406521" cy="1473344"/>
                    </a:xfrm>
                    <a:prstGeom prst="rect">
                      <a:avLst/>
                    </a:prstGeom>
                  </pic:spPr>
                </pic:pic>
              </a:graphicData>
            </a:graphic>
          </wp:inline>
        </w:drawing>
      </w:r>
    </w:p>
    <w:p w14:paraId="5F40A3CD" w14:textId="77777777" w:rsidR="00E63484" w:rsidRPr="00E63484" w:rsidRDefault="00E63484" w:rsidP="00E63484">
      <w:pPr>
        <w:spacing w:after="200" w:line="312" w:lineRule="auto"/>
        <w:jc w:val="both"/>
        <w:rPr>
          <w:rFonts w:ascii="Avenir Next LT Pro" w:eastAsia="MS Mincho" w:hAnsi="Avenir Next LT Pro" w:cs="Times New Roman"/>
          <w:sz w:val="23"/>
        </w:rPr>
      </w:pPr>
    </w:p>
    <w:p w14:paraId="4DD8E901"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lastRenderedPageBreak/>
        <w:t xml:space="preserve">Nonostante lo score medio sia sotto la sufficienza, con 42%, più della metà del campione ottiene score al di sopra. </w:t>
      </w:r>
    </w:p>
    <w:p w14:paraId="156FBD08"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Ad abbassare la media sono le tre Unioni con score inferiore a 20%, che si posizionano in classe </w:t>
      </w:r>
      <w:proofErr w:type="spellStart"/>
      <w:r w:rsidRPr="00E63484">
        <w:rPr>
          <w:rFonts w:ascii="Avenir Next LT Pro" w:eastAsia="MS Mincho" w:hAnsi="Avenir Next LT Pro" w:cs="Times New Roman"/>
          <w:i/>
          <w:sz w:val="23"/>
        </w:rPr>
        <w:t>Fallible</w:t>
      </w:r>
      <w:proofErr w:type="spellEnd"/>
      <w:r w:rsidRPr="00E63484">
        <w:rPr>
          <w:rFonts w:ascii="Avenir Next LT Pro" w:eastAsia="MS Mincho" w:hAnsi="Avenir Next LT Pro" w:cs="Times New Roman"/>
          <w:sz w:val="23"/>
        </w:rPr>
        <w:t xml:space="preserve">: appartengono due alla Sicilia e uno alla Calabria. Il risultato si spiega soprattutto con la mancanza di </w:t>
      </w:r>
      <w:r w:rsidRPr="00E63484">
        <w:rPr>
          <w:rFonts w:ascii="Avenir Next LT Pro" w:eastAsia="MS Mincho" w:hAnsi="Avenir Next LT Pro" w:cs="Times New Roman"/>
          <w:i/>
          <w:iCs/>
          <w:sz w:val="23"/>
        </w:rPr>
        <w:t>accountability:</w:t>
      </w:r>
      <w:r w:rsidRPr="00E63484">
        <w:rPr>
          <w:rFonts w:ascii="Avenir Next LT Pro" w:eastAsia="MS Mincho" w:hAnsi="Avenir Next LT Pro" w:cs="Times New Roman"/>
          <w:sz w:val="23"/>
        </w:rPr>
        <w:t xml:space="preserve"> i dati disponibili sono insufficienti per valutare la capacità di amministrare degli enti e, conseguentemente, a rendicontare ai cittadini il come e per cosa viene speso il denaro pubblico. E, infatti, per nessuna delle tre Unioni il bilancio era disponibile nella banca del MEF.</w:t>
      </w:r>
    </w:p>
    <w:p w14:paraId="7AB3A46F"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Sul fronte opposto del </w:t>
      </w:r>
      <w:r w:rsidRPr="00E63484">
        <w:rPr>
          <w:rFonts w:ascii="Avenir Next LT Pro" w:eastAsia="MS Mincho" w:hAnsi="Avenir Next LT Pro" w:cs="Times New Roman"/>
          <w:i/>
          <w:sz w:val="23"/>
        </w:rPr>
        <w:t>ranking</w:t>
      </w:r>
      <w:r w:rsidRPr="00E63484">
        <w:rPr>
          <w:rFonts w:ascii="Avenir Next LT Pro" w:eastAsia="MS Mincho" w:hAnsi="Avenir Next LT Pro" w:cs="Times New Roman"/>
          <w:sz w:val="23"/>
        </w:rPr>
        <w:t xml:space="preserve"> quattro Unioni si posizionano in classe </w:t>
      </w:r>
      <w:proofErr w:type="spellStart"/>
      <w:r w:rsidRPr="00E63484">
        <w:rPr>
          <w:rFonts w:ascii="Avenir Next LT Pro" w:eastAsia="MS Mincho" w:hAnsi="Avenir Next LT Pro" w:cs="Times New Roman"/>
          <w:i/>
          <w:sz w:val="23"/>
        </w:rPr>
        <w:t>Very</w:t>
      </w:r>
      <w:proofErr w:type="spellEnd"/>
      <w:r w:rsidRPr="00E63484">
        <w:rPr>
          <w:rFonts w:ascii="Avenir Next LT Pro" w:eastAsia="MS Mincho" w:hAnsi="Avenir Next LT Pro" w:cs="Times New Roman"/>
          <w:i/>
          <w:sz w:val="23"/>
        </w:rPr>
        <w:t xml:space="preserve"> Good</w:t>
      </w:r>
      <w:r w:rsidRPr="00E63484">
        <w:rPr>
          <w:rFonts w:ascii="Avenir Next LT Pro" w:eastAsia="MS Mincho" w:hAnsi="Avenir Next LT Pro" w:cs="Times New Roman"/>
          <w:sz w:val="23"/>
        </w:rPr>
        <w:t xml:space="preserve">, ampiamente sopra la sufficienza: tre sono emiliane e una toscana. Le Unioni </w:t>
      </w:r>
      <w:r w:rsidRPr="00E63484">
        <w:rPr>
          <w:rFonts w:ascii="Avenir Next LT Pro" w:eastAsia="MS Mincho" w:hAnsi="Avenir Next LT Pro" w:cs="Times New Roman"/>
          <w:i/>
          <w:sz w:val="23"/>
        </w:rPr>
        <w:t>benchmark</w:t>
      </w:r>
      <w:r w:rsidRPr="00E63484">
        <w:rPr>
          <w:rFonts w:ascii="Avenir Next LT Pro" w:eastAsia="MS Mincho" w:hAnsi="Avenir Next LT Pro" w:cs="Times New Roman"/>
          <w:sz w:val="23"/>
        </w:rPr>
        <w:t xml:space="preserve"> sono due: la Valle del Savio con 75% e la Reno Galliera con 70%, entrambe in Emilia-Romagna. Seguono la Romagna Faentina, anch’essa in Emilia, e la Garfagnana, in Toscana.</w:t>
      </w:r>
    </w:p>
    <w:p w14:paraId="58B82FEF"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Pare, dunque, confermarsi il luogo comune secondo cui le Amministrazioni Pubbliche del Nord e del Centro funzionano meglio di quelle al Sud. Di sicuro si conferma per le sei Unioni del Sud rappresentate nel campione: oltre alle tre che risultano in </w:t>
      </w:r>
      <w:proofErr w:type="spellStart"/>
      <w:r w:rsidRPr="00E63484">
        <w:rPr>
          <w:rFonts w:ascii="Avenir Next LT Pro" w:eastAsia="MS Mincho" w:hAnsi="Avenir Next LT Pro" w:cs="Times New Roman"/>
          <w:i/>
          <w:sz w:val="23"/>
        </w:rPr>
        <w:t>Fallible</w:t>
      </w:r>
      <w:proofErr w:type="spellEnd"/>
      <w:r w:rsidRPr="00E63484">
        <w:rPr>
          <w:rFonts w:ascii="Avenir Next LT Pro" w:eastAsia="MS Mincho" w:hAnsi="Avenir Next LT Pro" w:cs="Times New Roman"/>
          <w:sz w:val="23"/>
        </w:rPr>
        <w:t xml:space="preserve">, si fermano in classe </w:t>
      </w:r>
      <w:proofErr w:type="spellStart"/>
      <w:r w:rsidRPr="00E63484">
        <w:rPr>
          <w:rFonts w:ascii="Avenir Next LT Pro" w:eastAsia="MS Mincho" w:hAnsi="Avenir Next LT Pro" w:cs="Times New Roman"/>
          <w:i/>
          <w:sz w:val="23"/>
        </w:rPr>
        <w:t>Poor</w:t>
      </w:r>
      <w:proofErr w:type="spellEnd"/>
      <w:r w:rsidRPr="00E63484">
        <w:rPr>
          <w:rFonts w:ascii="Avenir Next LT Pro" w:eastAsia="MS Mincho" w:hAnsi="Avenir Next LT Pro" w:cs="Times New Roman"/>
          <w:sz w:val="23"/>
        </w:rPr>
        <w:t xml:space="preserve"> l’Unione Terre dell’</w:t>
      </w:r>
      <w:proofErr w:type="spellStart"/>
      <w:r w:rsidRPr="00E63484">
        <w:rPr>
          <w:rFonts w:ascii="Avenir Next LT Pro" w:eastAsia="MS Mincho" w:hAnsi="Avenir Next LT Pro" w:cs="Times New Roman"/>
          <w:sz w:val="23"/>
        </w:rPr>
        <w:t>Ufita</w:t>
      </w:r>
      <w:proofErr w:type="spellEnd"/>
      <w:r w:rsidRPr="00E63484">
        <w:rPr>
          <w:rFonts w:ascii="Avenir Next LT Pro" w:eastAsia="MS Mincho" w:hAnsi="Avenir Next LT Pro" w:cs="Times New Roman"/>
          <w:sz w:val="23"/>
        </w:rPr>
        <w:t xml:space="preserve">, in Campania, la Platani Quisquina </w:t>
      </w:r>
      <w:proofErr w:type="spellStart"/>
      <w:r w:rsidRPr="00E63484">
        <w:rPr>
          <w:rFonts w:ascii="Avenir Next LT Pro" w:eastAsia="MS Mincho" w:hAnsi="Avenir Next LT Pro" w:cs="Times New Roman"/>
          <w:sz w:val="23"/>
        </w:rPr>
        <w:t>Magazzolo</w:t>
      </w:r>
      <w:proofErr w:type="spellEnd"/>
      <w:r w:rsidRPr="00E63484">
        <w:rPr>
          <w:rFonts w:ascii="Avenir Next LT Pro" w:eastAsia="MS Mincho" w:hAnsi="Avenir Next LT Pro" w:cs="Times New Roman"/>
          <w:sz w:val="23"/>
        </w:rPr>
        <w:t>, in Sicilia, e la Val Vibrata, in Abruzzo.</w:t>
      </w:r>
    </w:p>
    <w:p w14:paraId="2D13B62C"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Va notato, tuttavia, che quello stesso luogo comune non si conferma totalmente, né per il Nord né per il Centro: Emilia, Piemonte, Veneto e Friuli, da un alto, e Toscana e Marche, dall’altro, presentano anche Unioni con capacità amministrativa al di sotto della sufficienza, come mostra la tabella che segue.</w:t>
      </w:r>
    </w:p>
    <w:p w14:paraId="6840815C" w14:textId="77777777" w:rsidR="00E63484" w:rsidRPr="00E63484" w:rsidRDefault="00E63484" w:rsidP="00E63484">
      <w:pPr>
        <w:spacing w:after="200" w:line="276" w:lineRule="auto"/>
        <w:rPr>
          <w:rFonts w:ascii="Avenir Next LT Pro" w:eastAsia="MS Mincho" w:hAnsi="Avenir Next LT Pro" w:cs="Times New Roman"/>
          <w:sz w:val="23"/>
        </w:rPr>
      </w:pPr>
      <w:r w:rsidRPr="00E63484">
        <w:rPr>
          <w:rFonts w:ascii="Avenir Next LT Pro" w:eastAsia="MS Mincho" w:hAnsi="Avenir Next LT Pro" w:cs="Times New Roman"/>
          <w:sz w:val="23"/>
        </w:rPr>
        <w:br w:type="page"/>
      </w:r>
    </w:p>
    <w:p w14:paraId="0DAF9C4A" w14:textId="77777777" w:rsidR="00E63484" w:rsidRPr="00E63484" w:rsidRDefault="00E63484" w:rsidP="00E63484">
      <w:pPr>
        <w:keepNext/>
        <w:spacing w:after="200" w:line="240" w:lineRule="auto"/>
        <w:jc w:val="both"/>
        <w:rPr>
          <w:rFonts w:ascii="Avenir Next LT Pro" w:eastAsia="MS Mincho" w:hAnsi="Avenir Next LT Pro" w:cs="Times New Roman"/>
          <w:i/>
          <w:iCs/>
          <w:color w:val="082A75"/>
          <w:sz w:val="23"/>
          <w:szCs w:val="23"/>
        </w:rPr>
      </w:pPr>
      <w:bookmarkStart w:id="0" w:name="_Toc93170914"/>
      <w:r w:rsidRPr="00E63484">
        <w:rPr>
          <w:rFonts w:ascii="Avenir Next LT Pro" w:eastAsia="MS Mincho" w:hAnsi="Avenir Next LT Pro" w:cs="Times New Roman"/>
          <w:i/>
          <w:iCs/>
          <w:color w:val="082A75"/>
          <w:sz w:val="23"/>
          <w:szCs w:val="23"/>
        </w:rPr>
        <w:lastRenderedPageBreak/>
        <w:t xml:space="preserve">Tabella </w:t>
      </w:r>
      <w:r w:rsidRPr="00E63484">
        <w:rPr>
          <w:rFonts w:ascii="Avenir Next LT Pro" w:eastAsia="MS Mincho" w:hAnsi="Avenir Next LT Pro" w:cs="Times New Roman"/>
          <w:i/>
          <w:iCs/>
          <w:color w:val="082A75"/>
          <w:sz w:val="23"/>
          <w:szCs w:val="23"/>
        </w:rPr>
        <w:fldChar w:fldCharType="begin"/>
      </w:r>
      <w:r w:rsidRPr="00E63484">
        <w:rPr>
          <w:rFonts w:ascii="Avenir Next LT Pro" w:eastAsia="MS Mincho" w:hAnsi="Avenir Next LT Pro" w:cs="Times New Roman"/>
          <w:i/>
          <w:iCs/>
          <w:color w:val="082A75"/>
          <w:sz w:val="23"/>
          <w:szCs w:val="23"/>
        </w:rPr>
        <w:instrText xml:space="preserve"> SEQ Tabella \* ARABIC </w:instrText>
      </w:r>
      <w:r w:rsidRPr="00E63484">
        <w:rPr>
          <w:rFonts w:ascii="Avenir Next LT Pro" w:eastAsia="MS Mincho" w:hAnsi="Avenir Next LT Pro" w:cs="Times New Roman"/>
          <w:i/>
          <w:iCs/>
          <w:color w:val="082A75"/>
          <w:sz w:val="23"/>
          <w:szCs w:val="23"/>
        </w:rPr>
        <w:fldChar w:fldCharType="separate"/>
      </w:r>
      <w:r w:rsidRPr="00E63484">
        <w:rPr>
          <w:rFonts w:ascii="Avenir Next LT Pro" w:eastAsia="MS Mincho" w:hAnsi="Avenir Next LT Pro" w:cs="Times New Roman"/>
          <w:i/>
          <w:iCs/>
          <w:noProof/>
          <w:color w:val="082A75"/>
          <w:sz w:val="23"/>
          <w:szCs w:val="23"/>
        </w:rPr>
        <w:t>9</w:t>
      </w:r>
      <w:r w:rsidRPr="00E63484">
        <w:rPr>
          <w:rFonts w:ascii="Avenir Next LT Pro" w:eastAsia="MS Mincho" w:hAnsi="Avenir Next LT Pro" w:cs="Times New Roman"/>
          <w:i/>
          <w:iCs/>
          <w:color w:val="082A75"/>
          <w:sz w:val="23"/>
          <w:szCs w:val="23"/>
        </w:rPr>
        <w:fldChar w:fldCharType="end"/>
      </w:r>
      <w:r w:rsidRPr="00E63484">
        <w:rPr>
          <w:rFonts w:ascii="Avenir Next LT Pro" w:eastAsia="MS Mincho" w:hAnsi="Avenir Next LT Pro" w:cs="Times New Roman"/>
          <w:i/>
          <w:iCs/>
          <w:color w:val="082A75"/>
          <w:sz w:val="23"/>
          <w:szCs w:val="23"/>
        </w:rPr>
        <w:t xml:space="preserve"> UNIONI PER INDICE DI CAPACITÀ AMMINISTRATIVA</w:t>
      </w:r>
      <w:bookmarkEnd w:id="0"/>
    </w:p>
    <w:tbl>
      <w:tblPr>
        <w:tblStyle w:val="Tabellagriglia4-colore21"/>
        <w:tblW w:w="8840" w:type="dxa"/>
        <w:jc w:val="center"/>
        <w:tblLook w:val="04A0" w:firstRow="1" w:lastRow="0" w:firstColumn="1" w:lastColumn="0" w:noHBand="0" w:noVBand="1"/>
      </w:tblPr>
      <w:tblGrid>
        <w:gridCol w:w="2405"/>
        <w:gridCol w:w="425"/>
        <w:gridCol w:w="3969"/>
        <w:gridCol w:w="284"/>
        <w:gridCol w:w="1757"/>
      </w:tblGrid>
      <w:tr w:rsidR="00E63484" w:rsidRPr="00E63484" w14:paraId="0A119E68" w14:textId="77777777" w:rsidTr="00E63484">
        <w:trPr>
          <w:cnfStyle w:val="100000000000" w:firstRow="1" w:lastRow="0" w:firstColumn="0" w:lastColumn="0" w:oddVBand="0" w:evenVBand="0" w:oddHBand="0"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2830" w:type="dxa"/>
            <w:gridSpan w:val="2"/>
            <w:noWrap/>
            <w:vAlign w:val="center"/>
            <w:hideMark/>
          </w:tcPr>
          <w:p w14:paraId="250B6BA5" w14:textId="77777777" w:rsidR="00E63484" w:rsidRPr="00E63484" w:rsidRDefault="00E63484" w:rsidP="00E63484">
            <w:pPr>
              <w:jc w:val="center"/>
              <w:rPr>
                <w:rFonts w:ascii="Avenir Next LT Pro" w:eastAsia="Times New Roman" w:hAnsi="Avenir Next LT Pro" w:cs="Calibri"/>
                <w:lang w:eastAsia="it-IT"/>
              </w:rPr>
            </w:pPr>
            <w:r w:rsidRPr="00E63484">
              <w:rPr>
                <w:rFonts w:ascii="Avenir Next LT Pro" w:eastAsia="Times New Roman" w:hAnsi="Avenir Next LT Pro" w:cs="Calibri"/>
                <w:lang w:eastAsia="it-IT"/>
              </w:rPr>
              <w:t>Regione</w:t>
            </w:r>
          </w:p>
        </w:tc>
        <w:tc>
          <w:tcPr>
            <w:tcW w:w="3969" w:type="dxa"/>
            <w:noWrap/>
            <w:vAlign w:val="center"/>
            <w:hideMark/>
          </w:tcPr>
          <w:p w14:paraId="422D6B96" w14:textId="77777777" w:rsidR="00E63484" w:rsidRPr="00E63484" w:rsidRDefault="00E63484" w:rsidP="00E63484">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Unione</w:t>
            </w:r>
          </w:p>
        </w:tc>
        <w:tc>
          <w:tcPr>
            <w:tcW w:w="2041" w:type="dxa"/>
            <w:gridSpan w:val="2"/>
            <w:noWrap/>
            <w:vAlign w:val="center"/>
            <w:hideMark/>
          </w:tcPr>
          <w:p w14:paraId="638540BE" w14:textId="77777777" w:rsidR="00E63484" w:rsidRPr="00E63484" w:rsidRDefault="00E63484" w:rsidP="00E63484">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Indice Capacità Amministrativa (0-100)</w:t>
            </w:r>
          </w:p>
        </w:tc>
      </w:tr>
      <w:tr w:rsidR="00E63484" w:rsidRPr="00E63484" w14:paraId="69A5AF19"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0F6A60A"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714CB88E"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Valle del Savio</w:t>
            </w:r>
          </w:p>
        </w:tc>
        <w:tc>
          <w:tcPr>
            <w:tcW w:w="1757" w:type="dxa"/>
            <w:noWrap/>
            <w:vAlign w:val="center"/>
            <w:hideMark/>
          </w:tcPr>
          <w:p w14:paraId="27510125"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75</w:t>
            </w:r>
          </w:p>
        </w:tc>
      </w:tr>
      <w:tr w:rsidR="00E63484" w:rsidRPr="00E63484" w14:paraId="1DFB8505"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43B36F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3EB75B65"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Reno Galliera</w:t>
            </w:r>
          </w:p>
        </w:tc>
        <w:tc>
          <w:tcPr>
            <w:tcW w:w="1757" w:type="dxa"/>
            <w:noWrap/>
            <w:vAlign w:val="center"/>
            <w:hideMark/>
          </w:tcPr>
          <w:p w14:paraId="1B3A131A"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70</w:t>
            </w:r>
          </w:p>
        </w:tc>
      </w:tr>
      <w:tr w:rsidR="00E63484" w:rsidRPr="00E63484" w14:paraId="2158E777"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552AC99C"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tcPr>
          <w:p w14:paraId="658559BC"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Romagna Faentina</w:t>
            </w:r>
          </w:p>
        </w:tc>
        <w:tc>
          <w:tcPr>
            <w:tcW w:w="1757" w:type="dxa"/>
            <w:noWrap/>
            <w:vAlign w:val="center"/>
          </w:tcPr>
          <w:p w14:paraId="47D068FF"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64</w:t>
            </w:r>
          </w:p>
        </w:tc>
      </w:tr>
      <w:tr w:rsidR="00E63484" w:rsidRPr="00E63484" w14:paraId="02DE621A"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6AB4782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4678" w:type="dxa"/>
            <w:gridSpan w:val="3"/>
            <w:vAlign w:val="center"/>
          </w:tcPr>
          <w:p w14:paraId="287150CC"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Garfagnana</w:t>
            </w:r>
          </w:p>
        </w:tc>
        <w:tc>
          <w:tcPr>
            <w:tcW w:w="1757" w:type="dxa"/>
            <w:noWrap/>
            <w:vAlign w:val="center"/>
            <w:hideMark/>
          </w:tcPr>
          <w:p w14:paraId="1E356E8A"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60</w:t>
            </w:r>
          </w:p>
        </w:tc>
      </w:tr>
      <w:tr w:rsidR="00E63484" w:rsidRPr="00E63484" w14:paraId="7201D916"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8663B3D"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4678" w:type="dxa"/>
            <w:gridSpan w:val="3"/>
            <w:vAlign w:val="center"/>
            <w:hideMark/>
          </w:tcPr>
          <w:p w14:paraId="74FB6B0D"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FC Camposampierese</w:t>
            </w:r>
          </w:p>
        </w:tc>
        <w:tc>
          <w:tcPr>
            <w:tcW w:w="1757" w:type="dxa"/>
            <w:noWrap/>
            <w:vAlign w:val="center"/>
            <w:hideMark/>
          </w:tcPr>
          <w:p w14:paraId="6C46C509"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59</w:t>
            </w:r>
          </w:p>
        </w:tc>
      </w:tr>
      <w:tr w:rsidR="00E63484" w:rsidRPr="00E63484" w14:paraId="4CAAF6F8"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BF213B5"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4678" w:type="dxa"/>
            <w:gridSpan w:val="3"/>
            <w:vAlign w:val="center"/>
            <w:hideMark/>
          </w:tcPr>
          <w:p w14:paraId="20EAE431"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Valdera</w:t>
            </w:r>
          </w:p>
        </w:tc>
        <w:tc>
          <w:tcPr>
            <w:tcW w:w="1757" w:type="dxa"/>
            <w:noWrap/>
            <w:vAlign w:val="center"/>
            <w:hideMark/>
          </w:tcPr>
          <w:p w14:paraId="6E40F2AE"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57</w:t>
            </w:r>
          </w:p>
        </w:tc>
      </w:tr>
      <w:tr w:rsidR="00E63484" w:rsidRPr="00E63484" w14:paraId="1F66CEB5"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5D1686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5D9E145F"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Valmarecchia</w:t>
            </w:r>
          </w:p>
        </w:tc>
        <w:tc>
          <w:tcPr>
            <w:tcW w:w="1757" w:type="dxa"/>
            <w:noWrap/>
            <w:vAlign w:val="center"/>
            <w:hideMark/>
          </w:tcPr>
          <w:p w14:paraId="14807720"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55</w:t>
            </w:r>
          </w:p>
        </w:tc>
      </w:tr>
      <w:tr w:rsidR="00E63484" w:rsidRPr="00E63484" w14:paraId="771A0E65"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614C58D"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25EB9D39"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Terre e Fiumi</w:t>
            </w:r>
          </w:p>
        </w:tc>
        <w:tc>
          <w:tcPr>
            <w:tcW w:w="1757" w:type="dxa"/>
            <w:noWrap/>
            <w:vAlign w:val="center"/>
            <w:hideMark/>
          </w:tcPr>
          <w:p w14:paraId="5AFB55DE"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53</w:t>
            </w:r>
          </w:p>
        </w:tc>
      </w:tr>
      <w:tr w:rsidR="00E63484" w:rsidRPr="00E63484" w14:paraId="4DC70312"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DA73659"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Marche</w:t>
            </w:r>
          </w:p>
        </w:tc>
        <w:tc>
          <w:tcPr>
            <w:tcW w:w="4678" w:type="dxa"/>
            <w:gridSpan w:val="3"/>
            <w:vAlign w:val="center"/>
            <w:hideMark/>
          </w:tcPr>
          <w:p w14:paraId="52DCBF56"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UM Potenza Esino Musone</w:t>
            </w:r>
          </w:p>
        </w:tc>
        <w:tc>
          <w:tcPr>
            <w:tcW w:w="1757" w:type="dxa"/>
            <w:noWrap/>
            <w:vAlign w:val="center"/>
            <w:hideMark/>
          </w:tcPr>
          <w:p w14:paraId="79A51942"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53</w:t>
            </w:r>
          </w:p>
        </w:tc>
      </w:tr>
      <w:tr w:rsidR="00E63484" w:rsidRPr="00E63484" w14:paraId="29029C3D"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6CD9A62"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78A8A16D"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Bassa Reggiana</w:t>
            </w:r>
          </w:p>
        </w:tc>
        <w:tc>
          <w:tcPr>
            <w:tcW w:w="1757" w:type="dxa"/>
            <w:noWrap/>
            <w:vAlign w:val="center"/>
            <w:hideMark/>
          </w:tcPr>
          <w:p w14:paraId="7845CE27"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51</w:t>
            </w:r>
          </w:p>
        </w:tc>
      </w:tr>
      <w:tr w:rsidR="00E63484" w:rsidRPr="00E63484" w14:paraId="524D9C29"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430A38E"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Marche</w:t>
            </w:r>
          </w:p>
        </w:tc>
        <w:tc>
          <w:tcPr>
            <w:tcW w:w="4678" w:type="dxa"/>
            <w:gridSpan w:val="3"/>
            <w:vAlign w:val="center"/>
            <w:hideMark/>
          </w:tcPr>
          <w:p w14:paraId="38FF5ECB"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 xml:space="preserve">C Terre </w:t>
            </w:r>
            <w:proofErr w:type="spellStart"/>
            <w:r w:rsidRPr="00E63484">
              <w:rPr>
                <w:rFonts w:ascii="Avenir Next LT Pro" w:eastAsia="Times New Roman" w:hAnsi="Avenir Next LT Pro" w:cs="Calibri"/>
                <w:lang w:eastAsia="it-IT"/>
              </w:rPr>
              <w:t>Roveresche</w:t>
            </w:r>
            <w:proofErr w:type="spellEnd"/>
          </w:p>
        </w:tc>
        <w:tc>
          <w:tcPr>
            <w:tcW w:w="1757" w:type="dxa"/>
            <w:noWrap/>
            <w:vAlign w:val="center"/>
            <w:hideMark/>
          </w:tcPr>
          <w:p w14:paraId="37E47447"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51</w:t>
            </w:r>
          </w:p>
        </w:tc>
      </w:tr>
      <w:tr w:rsidR="00E63484" w:rsidRPr="00E63484" w14:paraId="5F200804"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66CBEF8"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4678" w:type="dxa"/>
            <w:gridSpan w:val="3"/>
            <w:vAlign w:val="center"/>
            <w:hideMark/>
          </w:tcPr>
          <w:p w14:paraId="14E6DD0E"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Riviera del Brenta</w:t>
            </w:r>
          </w:p>
        </w:tc>
        <w:tc>
          <w:tcPr>
            <w:tcW w:w="1757" w:type="dxa"/>
            <w:noWrap/>
            <w:vAlign w:val="center"/>
            <w:hideMark/>
          </w:tcPr>
          <w:p w14:paraId="77BB14F6"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50</w:t>
            </w:r>
          </w:p>
        </w:tc>
      </w:tr>
      <w:tr w:rsidR="00E63484" w:rsidRPr="00E63484" w14:paraId="14B0F437"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AE07BF5"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4678" w:type="dxa"/>
            <w:gridSpan w:val="3"/>
            <w:vAlign w:val="center"/>
            <w:hideMark/>
          </w:tcPr>
          <w:p w14:paraId="41006588"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Marca Occidentale</w:t>
            </w:r>
          </w:p>
        </w:tc>
        <w:tc>
          <w:tcPr>
            <w:tcW w:w="1757" w:type="dxa"/>
            <w:noWrap/>
            <w:vAlign w:val="center"/>
            <w:hideMark/>
          </w:tcPr>
          <w:p w14:paraId="4743F23D"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48</w:t>
            </w:r>
          </w:p>
        </w:tc>
      </w:tr>
      <w:tr w:rsidR="00E63484" w:rsidRPr="00E63484" w14:paraId="6A82D7EB"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395A497"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Piemonte</w:t>
            </w:r>
          </w:p>
        </w:tc>
        <w:tc>
          <w:tcPr>
            <w:tcW w:w="4678" w:type="dxa"/>
            <w:gridSpan w:val="3"/>
            <w:vAlign w:val="center"/>
            <w:hideMark/>
          </w:tcPr>
          <w:p w14:paraId="7ED8210C"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Fossanese</w:t>
            </w:r>
          </w:p>
        </w:tc>
        <w:tc>
          <w:tcPr>
            <w:tcW w:w="1757" w:type="dxa"/>
            <w:noWrap/>
            <w:vAlign w:val="center"/>
            <w:hideMark/>
          </w:tcPr>
          <w:p w14:paraId="4478D4A7"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44</w:t>
            </w:r>
          </w:p>
        </w:tc>
      </w:tr>
      <w:tr w:rsidR="00E63484" w:rsidRPr="00E63484" w14:paraId="66D3D4D6"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8A236A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4678" w:type="dxa"/>
            <w:gridSpan w:val="3"/>
            <w:vAlign w:val="center"/>
            <w:hideMark/>
          </w:tcPr>
          <w:p w14:paraId="42167350"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Montani Appennino Pistoiese</w:t>
            </w:r>
          </w:p>
        </w:tc>
        <w:tc>
          <w:tcPr>
            <w:tcW w:w="1757" w:type="dxa"/>
            <w:noWrap/>
            <w:vAlign w:val="center"/>
            <w:hideMark/>
          </w:tcPr>
          <w:p w14:paraId="7252A012"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43</w:t>
            </w:r>
          </w:p>
        </w:tc>
      </w:tr>
      <w:tr w:rsidR="00E63484" w:rsidRPr="00E63484" w14:paraId="10B1AC6E"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7991126"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4678" w:type="dxa"/>
            <w:gridSpan w:val="3"/>
            <w:vAlign w:val="center"/>
            <w:hideMark/>
          </w:tcPr>
          <w:p w14:paraId="7633BEDC"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Circondario Empolese Valdelsa</w:t>
            </w:r>
          </w:p>
        </w:tc>
        <w:tc>
          <w:tcPr>
            <w:tcW w:w="1757" w:type="dxa"/>
            <w:noWrap/>
            <w:vAlign w:val="center"/>
            <w:hideMark/>
          </w:tcPr>
          <w:p w14:paraId="3A2DF8E1"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42</w:t>
            </w:r>
          </w:p>
        </w:tc>
      </w:tr>
      <w:tr w:rsidR="00E63484" w:rsidRPr="00E63484" w14:paraId="14FA448D"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B309F87"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Piemonte</w:t>
            </w:r>
          </w:p>
        </w:tc>
        <w:tc>
          <w:tcPr>
            <w:tcW w:w="4678" w:type="dxa"/>
            <w:gridSpan w:val="3"/>
            <w:vAlign w:val="center"/>
            <w:hideMark/>
          </w:tcPr>
          <w:p w14:paraId="6364ADEC"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UM Valli Orco e Soana</w:t>
            </w:r>
          </w:p>
        </w:tc>
        <w:tc>
          <w:tcPr>
            <w:tcW w:w="1757" w:type="dxa"/>
            <w:noWrap/>
            <w:vAlign w:val="center"/>
            <w:hideMark/>
          </w:tcPr>
          <w:p w14:paraId="28711333"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41</w:t>
            </w:r>
          </w:p>
        </w:tc>
      </w:tr>
      <w:tr w:rsidR="00E63484" w:rsidRPr="00E63484" w14:paraId="531966F8"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0249177"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Marche</w:t>
            </w:r>
          </w:p>
        </w:tc>
        <w:tc>
          <w:tcPr>
            <w:tcW w:w="4678" w:type="dxa"/>
            <w:gridSpan w:val="3"/>
            <w:vAlign w:val="center"/>
            <w:hideMark/>
          </w:tcPr>
          <w:p w14:paraId="75ED5D91"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Pian del Bruscolo</w:t>
            </w:r>
          </w:p>
        </w:tc>
        <w:tc>
          <w:tcPr>
            <w:tcW w:w="1757" w:type="dxa"/>
            <w:noWrap/>
            <w:vAlign w:val="center"/>
            <w:hideMark/>
          </w:tcPr>
          <w:p w14:paraId="2E2B6DA0"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40</w:t>
            </w:r>
          </w:p>
        </w:tc>
      </w:tr>
      <w:tr w:rsidR="00E63484" w:rsidRPr="00E63484" w14:paraId="630A57D4"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901BC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Abruzzo</w:t>
            </w:r>
          </w:p>
        </w:tc>
        <w:tc>
          <w:tcPr>
            <w:tcW w:w="4678" w:type="dxa"/>
            <w:gridSpan w:val="3"/>
            <w:vAlign w:val="center"/>
            <w:hideMark/>
          </w:tcPr>
          <w:p w14:paraId="03855E8F"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Val Vibrata</w:t>
            </w:r>
          </w:p>
        </w:tc>
        <w:tc>
          <w:tcPr>
            <w:tcW w:w="1757" w:type="dxa"/>
            <w:noWrap/>
            <w:vAlign w:val="center"/>
            <w:hideMark/>
          </w:tcPr>
          <w:p w14:paraId="2E894434"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38</w:t>
            </w:r>
          </w:p>
        </w:tc>
      </w:tr>
      <w:tr w:rsidR="00E63484" w:rsidRPr="00E63484" w14:paraId="52CFE3F0"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ED85129"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4678" w:type="dxa"/>
            <w:gridSpan w:val="3"/>
            <w:vAlign w:val="center"/>
            <w:hideMark/>
          </w:tcPr>
          <w:p w14:paraId="6BAE5002"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Taro e Ceno</w:t>
            </w:r>
          </w:p>
        </w:tc>
        <w:tc>
          <w:tcPr>
            <w:tcW w:w="1757" w:type="dxa"/>
            <w:noWrap/>
            <w:vAlign w:val="center"/>
            <w:hideMark/>
          </w:tcPr>
          <w:p w14:paraId="19404CD2"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35</w:t>
            </w:r>
          </w:p>
        </w:tc>
      </w:tr>
      <w:tr w:rsidR="00E63484" w:rsidRPr="00E63484" w14:paraId="4C129475"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C684B4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4678" w:type="dxa"/>
            <w:gridSpan w:val="3"/>
            <w:vAlign w:val="center"/>
            <w:hideMark/>
          </w:tcPr>
          <w:p w14:paraId="181BA0A8"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Valdichiana senese</w:t>
            </w:r>
          </w:p>
        </w:tc>
        <w:tc>
          <w:tcPr>
            <w:tcW w:w="1757" w:type="dxa"/>
            <w:noWrap/>
            <w:vAlign w:val="center"/>
            <w:hideMark/>
          </w:tcPr>
          <w:p w14:paraId="76EF0EAA"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33</w:t>
            </w:r>
          </w:p>
        </w:tc>
      </w:tr>
      <w:tr w:rsidR="00E63484" w:rsidRPr="00E63484" w14:paraId="4E2C5A9E"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FD61A5A"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Friuli-Venezia Giulia</w:t>
            </w:r>
          </w:p>
        </w:tc>
        <w:tc>
          <w:tcPr>
            <w:tcW w:w="4678" w:type="dxa"/>
            <w:gridSpan w:val="3"/>
            <w:vAlign w:val="center"/>
            <w:hideMark/>
          </w:tcPr>
          <w:p w14:paraId="53BDE455"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UT Intercomunale Collio-Alto Isonzo</w:t>
            </w:r>
          </w:p>
        </w:tc>
        <w:tc>
          <w:tcPr>
            <w:tcW w:w="1757" w:type="dxa"/>
            <w:noWrap/>
            <w:vAlign w:val="center"/>
            <w:hideMark/>
          </w:tcPr>
          <w:p w14:paraId="36ED719D"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31</w:t>
            </w:r>
          </w:p>
        </w:tc>
      </w:tr>
      <w:tr w:rsidR="00E63484" w:rsidRPr="00E63484" w14:paraId="5756ECBD"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69D3D49"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Piemonte</w:t>
            </w:r>
          </w:p>
        </w:tc>
        <w:tc>
          <w:tcPr>
            <w:tcW w:w="4678" w:type="dxa"/>
            <w:gridSpan w:val="3"/>
            <w:vAlign w:val="center"/>
            <w:hideMark/>
          </w:tcPr>
          <w:p w14:paraId="2944E3DA"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UM Val Gallenca</w:t>
            </w:r>
          </w:p>
        </w:tc>
        <w:tc>
          <w:tcPr>
            <w:tcW w:w="1757" w:type="dxa"/>
            <w:noWrap/>
            <w:vAlign w:val="center"/>
            <w:hideMark/>
          </w:tcPr>
          <w:p w14:paraId="52E5DCDD"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29</w:t>
            </w:r>
          </w:p>
        </w:tc>
      </w:tr>
      <w:tr w:rsidR="00E63484" w:rsidRPr="00E63484" w14:paraId="724E2C54"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CC5026D"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4678" w:type="dxa"/>
            <w:gridSpan w:val="3"/>
            <w:vAlign w:val="center"/>
            <w:hideMark/>
          </w:tcPr>
          <w:p w14:paraId="6CFADB6C"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UC Caldogno, Costabissara, Isola Vicentina</w:t>
            </w:r>
          </w:p>
        </w:tc>
        <w:tc>
          <w:tcPr>
            <w:tcW w:w="1757" w:type="dxa"/>
            <w:noWrap/>
            <w:vAlign w:val="center"/>
            <w:hideMark/>
          </w:tcPr>
          <w:p w14:paraId="6EC0B78A"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28</w:t>
            </w:r>
          </w:p>
        </w:tc>
      </w:tr>
      <w:tr w:rsidR="00E63484" w:rsidRPr="00E63484" w14:paraId="453A08C3"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C0794D1"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Sicilia</w:t>
            </w:r>
          </w:p>
        </w:tc>
        <w:tc>
          <w:tcPr>
            <w:tcW w:w="4678" w:type="dxa"/>
            <w:gridSpan w:val="3"/>
            <w:vAlign w:val="center"/>
            <w:hideMark/>
          </w:tcPr>
          <w:p w14:paraId="09E4EAF9"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 xml:space="preserve">Platani Quisquina </w:t>
            </w:r>
            <w:proofErr w:type="spellStart"/>
            <w:r w:rsidRPr="00E63484">
              <w:rPr>
                <w:rFonts w:ascii="Avenir Next LT Pro" w:eastAsia="Times New Roman" w:hAnsi="Avenir Next LT Pro" w:cs="Calibri"/>
                <w:lang w:eastAsia="it-IT"/>
              </w:rPr>
              <w:t>Magazzolo</w:t>
            </w:r>
            <w:proofErr w:type="spellEnd"/>
          </w:p>
        </w:tc>
        <w:tc>
          <w:tcPr>
            <w:tcW w:w="1757" w:type="dxa"/>
            <w:noWrap/>
            <w:vAlign w:val="center"/>
            <w:hideMark/>
          </w:tcPr>
          <w:p w14:paraId="2E170C27"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23</w:t>
            </w:r>
          </w:p>
        </w:tc>
      </w:tr>
      <w:tr w:rsidR="00E63484" w:rsidRPr="00E63484" w14:paraId="21A1A881"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E6EFD73"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Campania</w:t>
            </w:r>
          </w:p>
        </w:tc>
        <w:tc>
          <w:tcPr>
            <w:tcW w:w="4678" w:type="dxa"/>
            <w:gridSpan w:val="3"/>
            <w:vAlign w:val="center"/>
            <w:hideMark/>
          </w:tcPr>
          <w:p w14:paraId="62FE1219"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Terre dell’</w:t>
            </w:r>
            <w:proofErr w:type="spellStart"/>
            <w:r w:rsidRPr="00E63484">
              <w:rPr>
                <w:rFonts w:ascii="Avenir Next LT Pro" w:eastAsia="Times New Roman" w:hAnsi="Avenir Next LT Pro" w:cs="Calibri"/>
                <w:lang w:eastAsia="it-IT"/>
              </w:rPr>
              <w:t>Ufita</w:t>
            </w:r>
            <w:proofErr w:type="spellEnd"/>
          </w:p>
        </w:tc>
        <w:tc>
          <w:tcPr>
            <w:tcW w:w="1757" w:type="dxa"/>
            <w:noWrap/>
            <w:vAlign w:val="center"/>
            <w:hideMark/>
          </w:tcPr>
          <w:p w14:paraId="48092372"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20</w:t>
            </w:r>
          </w:p>
        </w:tc>
      </w:tr>
      <w:tr w:rsidR="00E63484" w:rsidRPr="00E63484" w14:paraId="66AA6DD5"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1CA1968"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Sicilia</w:t>
            </w:r>
          </w:p>
        </w:tc>
        <w:tc>
          <w:tcPr>
            <w:tcW w:w="4678" w:type="dxa"/>
            <w:gridSpan w:val="3"/>
            <w:vAlign w:val="center"/>
            <w:hideMark/>
          </w:tcPr>
          <w:p w14:paraId="513D7BA1"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Valle del Belice</w:t>
            </w:r>
          </w:p>
        </w:tc>
        <w:tc>
          <w:tcPr>
            <w:tcW w:w="1757" w:type="dxa"/>
            <w:noWrap/>
            <w:vAlign w:val="center"/>
            <w:hideMark/>
          </w:tcPr>
          <w:p w14:paraId="3EBCA8F4"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10</w:t>
            </w:r>
          </w:p>
        </w:tc>
      </w:tr>
      <w:tr w:rsidR="00E63484" w:rsidRPr="00E63484" w14:paraId="7F77193C" w14:textId="77777777" w:rsidTr="002D0D86">
        <w:trPr>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447260"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Sicilia</w:t>
            </w:r>
          </w:p>
        </w:tc>
        <w:tc>
          <w:tcPr>
            <w:tcW w:w="4678" w:type="dxa"/>
            <w:gridSpan w:val="3"/>
            <w:vAlign w:val="center"/>
            <w:hideMark/>
          </w:tcPr>
          <w:p w14:paraId="63E4993A" w14:textId="77777777" w:rsidR="00E63484" w:rsidRPr="00E63484" w:rsidRDefault="00E63484" w:rsidP="00E63484">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Madonie</w:t>
            </w:r>
          </w:p>
        </w:tc>
        <w:tc>
          <w:tcPr>
            <w:tcW w:w="1757" w:type="dxa"/>
            <w:noWrap/>
            <w:vAlign w:val="center"/>
            <w:hideMark/>
          </w:tcPr>
          <w:p w14:paraId="53D7236E" w14:textId="77777777" w:rsidR="00E63484" w:rsidRPr="00E63484" w:rsidRDefault="00E63484" w:rsidP="00E63484">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10</w:t>
            </w:r>
          </w:p>
        </w:tc>
      </w:tr>
      <w:tr w:rsidR="00E63484" w:rsidRPr="00E63484" w14:paraId="1B17E451" w14:textId="77777777" w:rsidTr="00E634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71010AE" w14:textId="77777777" w:rsidR="00E63484" w:rsidRPr="00E63484" w:rsidRDefault="00E63484" w:rsidP="00E63484">
            <w:pPr>
              <w:rPr>
                <w:rFonts w:ascii="Avenir Next LT Pro" w:eastAsia="Times New Roman" w:hAnsi="Avenir Next LT Pro" w:cs="Calibri"/>
                <w:lang w:eastAsia="it-IT"/>
              </w:rPr>
            </w:pPr>
            <w:r w:rsidRPr="00E63484">
              <w:rPr>
                <w:rFonts w:ascii="Avenir Next LT Pro" w:eastAsia="Times New Roman" w:hAnsi="Avenir Next LT Pro" w:cs="Calibri"/>
                <w:lang w:eastAsia="it-IT"/>
              </w:rPr>
              <w:t>Calabria</w:t>
            </w:r>
          </w:p>
        </w:tc>
        <w:tc>
          <w:tcPr>
            <w:tcW w:w="4678" w:type="dxa"/>
            <w:gridSpan w:val="3"/>
            <w:vAlign w:val="center"/>
            <w:hideMark/>
          </w:tcPr>
          <w:p w14:paraId="5E5C9CAE" w14:textId="77777777" w:rsidR="00E63484" w:rsidRPr="00E63484" w:rsidRDefault="00E63484" w:rsidP="00E63484">
            <w:pP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U Valle del Torbido</w:t>
            </w:r>
          </w:p>
        </w:tc>
        <w:tc>
          <w:tcPr>
            <w:tcW w:w="1757" w:type="dxa"/>
            <w:noWrap/>
            <w:vAlign w:val="center"/>
            <w:hideMark/>
          </w:tcPr>
          <w:p w14:paraId="21F3A544" w14:textId="77777777" w:rsidR="00E63484" w:rsidRPr="00E63484" w:rsidRDefault="00E63484" w:rsidP="00E63484">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lang w:eastAsia="it-IT"/>
              </w:rPr>
            </w:pPr>
            <w:r w:rsidRPr="00E63484">
              <w:rPr>
                <w:rFonts w:ascii="Avenir Next LT Pro" w:eastAsia="Times New Roman" w:hAnsi="Avenir Next LT Pro" w:cs="Calibri"/>
                <w:lang w:eastAsia="it-IT"/>
              </w:rPr>
              <w:t>9</w:t>
            </w:r>
          </w:p>
        </w:tc>
      </w:tr>
    </w:tbl>
    <w:p w14:paraId="7E9EBD41" w14:textId="77777777" w:rsidR="00E63484" w:rsidRPr="00E63484" w:rsidRDefault="00E63484" w:rsidP="00E63484">
      <w:pPr>
        <w:spacing w:before="120" w:after="120" w:line="288" w:lineRule="auto"/>
        <w:jc w:val="both"/>
        <w:rPr>
          <w:rFonts w:ascii="Avenir Next LT Pro" w:eastAsia="MS Mincho" w:hAnsi="Avenir Next LT Pro" w:cs="Calibri"/>
          <w:sz w:val="20"/>
          <w:szCs w:val="20"/>
        </w:rPr>
      </w:pPr>
      <w:r w:rsidRPr="00E63484">
        <w:rPr>
          <w:rFonts w:ascii="Avenir Next LT Pro" w:eastAsia="MS Mincho" w:hAnsi="Avenir Next LT Pro" w:cs="Calibri"/>
          <w:sz w:val="20"/>
          <w:szCs w:val="20"/>
        </w:rPr>
        <w:t xml:space="preserve">      Fonte: Indice di Capacità Amministrativa 2021</w:t>
      </w:r>
    </w:p>
    <w:p w14:paraId="2ACF71E8" w14:textId="77777777" w:rsidR="00E63484" w:rsidRPr="00E63484" w:rsidRDefault="00E63484" w:rsidP="00E63484">
      <w:pPr>
        <w:spacing w:after="200" w:line="312" w:lineRule="auto"/>
        <w:jc w:val="both"/>
        <w:rPr>
          <w:rFonts w:ascii="Avenir Next LT Pro" w:eastAsia="MS Mincho" w:hAnsi="Avenir Next LT Pro" w:cs="Times New Roman"/>
          <w:sz w:val="23"/>
        </w:rPr>
      </w:pPr>
    </w:p>
    <w:p w14:paraId="73519E88"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La variabile </w:t>
      </w:r>
      <w:r w:rsidRPr="00E63484">
        <w:rPr>
          <w:rFonts w:ascii="Avenir Next LT Pro" w:eastAsia="MS Mincho" w:hAnsi="Avenir Next LT Pro" w:cs="Times New Roman"/>
          <w:b/>
          <w:bCs/>
          <w:sz w:val="23"/>
        </w:rPr>
        <w:t>anzianità dell’Unione</w:t>
      </w:r>
      <w:r w:rsidRPr="00E63484">
        <w:rPr>
          <w:rFonts w:ascii="Avenir Next LT Pro" w:eastAsia="MS Mincho" w:hAnsi="Avenir Next LT Pro" w:cs="Times New Roman"/>
          <w:sz w:val="23"/>
        </w:rPr>
        <w:t xml:space="preserve"> non sembra incidere particolarmente sulla loro performance: le Unioni più mature, create dal 2000 al 2004, non sono le più performanti, fermandosi sotto la sufficienza, così come non lo sono le Unioni più recenti.</w:t>
      </w:r>
    </w:p>
    <w:p w14:paraId="1D3BABAA"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Non sembra incidere neppure il numero di </w:t>
      </w:r>
      <w:r w:rsidRPr="00E63484">
        <w:rPr>
          <w:rFonts w:ascii="Avenir Next LT Pro" w:eastAsia="MS Mincho" w:hAnsi="Avenir Next LT Pro" w:cs="Times New Roman"/>
          <w:b/>
          <w:bCs/>
          <w:sz w:val="23"/>
        </w:rPr>
        <w:t>Comuni associati</w:t>
      </w:r>
      <w:r w:rsidRPr="00E63484">
        <w:rPr>
          <w:rFonts w:ascii="Avenir Next LT Pro" w:eastAsia="MS Mincho" w:hAnsi="Avenir Next LT Pro" w:cs="Times New Roman"/>
          <w:sz w:val="23"/>
        </w:rPr>
        <w:t xml:space="preserve">: le Madonie, in Sicilia, e la Garfagnana, in Toscana, sono composte dal più alto numero di Comuni, rispettivamente 18 </w:t>
      </w:r>
      <w:r w:rsidRPr="00E63484">
        <w:rPr>
          <w:rFonts w:ascii="Avenir Next LT Pro" w:eastAsia="MS Mincho" w:hAnsi="Avenir Next LT Pro" w:cs="Times New Roman"/>
          <w:sz w:val="23"/>
        </w:rPr>
        <w:lastRenderedPageBreak/>
        <w:t xml:space="preserve">e 14, ma la prima è in fondo al </w:t>
      </w:r>
      <w:r w:rsidRPr="00E63484">
        <w:rPr>
          <w:rFonts w:ascii="Avenir Next LT Pro" w:eastAsia="MS Mincho" w:hAnsi="Avenir Next LT Pro" w:cs="Times New Roman"/>
          <w:i/>
          <w:sz w:val="23"/>
        </w:rPr>
        <w:t>ranking</w:t>
      </w:r>
      <w:r w:rsidRPr="00E63484">
        <w:rPr>
          <w:rFonts w:ascii="Avenir Next LT Pro" w:eastAsia="MS Mincho" w:hAnsi="Avenir Next LT Pro" w:cs="Times New Roman"/>
          <w:sz w:val="23"/>
        </w:rPr>
        <w:t xml:space="preserve"> e la seconda in cima. La stessa alternanza di score sopra e sotto la sufficienza si registra tra le Unioni con il minor numero di Comuni associati.</w:t>
      </w:r>
    </w:p>
    <w:p w14:paraId="15354DBC"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Alcune delle Unioni con il maggior numero di </w:t>
      </w:r>
      <w:r w:rsidRPr="00E63484">
        <w:rPr>
          <w:rFonts w:ascii="Avenir Next LT Pro" w:eastAsia="MS Mincho" w:hAnsi="Avenir Next LT Pro" w:cs="Times New Roman"/>
          <w:b/>
          <w:bCs/>
          <w:sz w:val="23"/>
        </w:rPr>
        <w:t>funzioni associate</w:t>
      </w:r>
      <w:r w:rsidRPr="00E63484">
        <w:rPr>
          <w:rFonts w:ascii="Avenir Next LT Pro" w:eastAsia="MS Mincho" w:hAnsi="Avenir Next LT Pro" w:cs="Times New Roman"/>
          <w:sz w:val="23"/>
        </w:rPr>
        <w:t xml:space="preserve"> ottengono score in classe </w:t>
      </w:r>
      <w:r w:rsidRPr="00E63484">
        <w:rPr>
          <w:rFonts w:ascii="Avenir Next LT Pro" w:eastAsia="MS Mincho" w:hAnsi="Avenir Next LT Pro" w:cs="Times New Roman"/>
          <w:i/>
          <w:sz w:val="23"/>
        </w:rPr>
        <w:t>Good</w:t>
      </w:r>
      <w:r w:rsidRPr="00E63484">
        <w:rPr>
          <w:rFonts w:ascii="Avenir Next LT Pro" w:eastAsia="MS Mincho" w:hAnsi="Avenir Next LT Pro" w:cs="Times New Roman"/>
          <w:sz w:val="23"/>
        </w:rPr>
        <w:t xml:space="preserve">: sono la Faentina e la Garfagnana (12 funzioni), la Reno Galliera (9). Le tre Unioni, invece, con una o due funzioni associate ottengono score in </w:t>
      </w:r>
      <w:proofErr w:type="spellStart"/>
      <w:r w:rsidRPr="00E63484">
        <w:rPr>
          <w:rFonts w:ascii="Avenir Next LT Pro" w:eastAsia="MS Mincho" w:hAnsi="Avenir Next LT Pro" w:cs="Times New Roman"/>
          <w:i/>
          <w:sz w:val="23"/>
        </w:rPr>
        <w:t>Fallible</w:t>
      </w:r>
      <w:proofErr w:type="spellEnd"/>
      <w:r w:rsidRPr="00E63484">
        <w:rPr>
          <w:rFonts w:ascii="Avenir Next LT Pro" w:eastAsia="MS Mincho" w:hAnsi="Avenir Next LT Pro" w:cs="Times New Roman"/>
          <w:sz w:val="23"/>
        </w:rPr>
        <w:t xml:space="preserve"> o </w:t>
      </w:r>
      <w:proofErr w:type="spellStart"/>
      <w:r w:rsidRPr="00E63484">
        <w:rPr>
          <w:rFonts w:ascii="Avenir Next LT Pro" w:eastAsia="MS Mincho" w:hAnsi="Avenir Next LT Pro" w:cs="Times New Roman"/>
          <w:i/>
          <w:sz w:val="23"/>
        </w:rPr>
        <w:t>Poor</w:t>
      </w:r>
      <w:proofErr w:type="spellEnd"/>
      <w:r w:rsidRPr="00E63484">
        <w:rPr>
          <w:rFonts w:ascii="Avenir Next LT Pro" w:eastAsia="MS Mincho" w:hAnsi="Avenir Next LT Pro" w:cs="Times New Roman"/>
          <w:sz w:val="23"/>
        </w:rPr>
        <w:t>. Sembra, dunque, che la variabile relativa al numero di funzioni abbia una qualche incidenza sullo score complessivo finale.</w:t>
      </w:r>
    </w:p>
    <w:p w14:paraId="38F3E8E2"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Dal punto di vista del </w:t>
      </w:r>
      <w:r w:rsidRPr="00E63484">
        <w:rPr>
          <w:rFonts w:ascii="Avenir Next LT Pro" w:eastAsia="MS Mincho" w:hAnsi="Avenir Next LT Pro" w:cs="Times New Roman"/>
          <w:b/>
          <w:bCs/>
          <w:sz w:val="23"/>
        </w:rPr>
        <w:t>numero di dipendenti</w:t>
      </w:r>
      <w:r w:rsidRPr="00E63484">
        <w:rPr>
          <w:rFonts w:ascii="Avenir Next LT Pro" w:eastAsia="MS Mincho" w:hAnsi="Avenir Next LT Pro" w:cs="Times New Roman"/>
          <w:sz w:val="23"/>
        </w:rPr>
        <w:t xml:space="preserve">, le due Unioni con più personale, oltre i 200 dipendenti, ottengono una valutazione in </w:t>
      </w:r>
      <w:r w:rsidRPr="00E63484">
        <w:rPr>
          <w:rFonts w:ascii="Avenir Next LT Pro" w:eastAsia="MS Mincho" w:hAnsi="Avenir Next LT Pro" w:cs="Times New Roman"/>
          <w:i/>
          <w:sz w:val="23"/>
        </w:rPr>
        <w:t>Good</w:t>
      </w:r>
      <w:r w:rsidRPr="00E63484">
        <w:rPr>
          <w:rFonts w:ascii="Avenir Next LT Pro" w:eastAsia="MS Mincho" w:hAnsi="Avenir Next LT Pro" w:cs="Times New Roman"/>
          <w:sz w:val="23"/>
        </w:rPr>
        <w:t>, mentre le sei Unioni con meno dipendenti presentano score sotto la sufficienza. Quindi, la variabile dipendenti sembra avere qualche influenza sulla performance complessiva finale degli enti.</w:t>
      </w:r>
    </w:p>
    <w:p w14:paraId="0039F9CD"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Una qualche influenza sembra averla anche la </w:t>
      </w:r>
      <w:r w:rsidRPr="00E63484">
        <w:rPr>
          <w:rFonts w:ascii="Avenir Next LT Pro" w:eastAsia="MS Mincho" w:hAnsi="Avenir Next LT Pro" w:cs="Times New Roman"/>
          <w:b/>
          <w:bCs/>
          <w:sz w:val="23"/>
        </w:rPr>
        <w:t>variabile demografica</w:t>
      </w:r>
      <w:r w:rsidRPr="00E63484">
        <w:rPr>
          <w:rFonts w:ascii="Avenir Next LT Pro" w:eastAsia="MS Mincho" w:hAnsi="Avenir Next LT Pro" w:cs="Times New Roman"/>
          <w:sz w:val="23"/>
        </w:rPr>
        <w:t xml:space="preserve">: le sei Unioni più piccole, sotto i 15.000 abitanti si fermano sotto la sufficienza, ad eccezione del Comune Terre </w:t>
      </w:r>
      <w:proofErr w:type="spellStart"/>
      <w:r w:rsidRPr="00E63484">
        <w:rPr>
          <w:rFonts w:ascii="Avenir Next LT Pro" w:eastAsia="MS Mincho" w:hAnsi="Avenir Next LT Pro" w:cs="Times New Roman"/>
          <w:sz w:val="23"/>
        </w:rPr>
        <w:t>Roveresche</w:t>
      </w:r>
      <w:proofErr w:type="spellEnd"/>
      <w:r w:rsidRPr="00E63484">
        <w:rPr>
          <w:rFonts w:ascii="Avenir Next LT Pro" w:eastAsia="MS Mincho" w:hAnsi="Avenir Next LT Pro" w:cs="Times New Roman"/>
          <w:sz w:val="23"/>
        </w:rPr>
        <w:t>, che comunque non va oltre il 51%.</w:t>
      </w:r>
    </w:p>
    <w:p w14:paraId="4B30DCD4"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Riguardo alla </w:t>
      </w:r>
      <w:r w:rsidRPr="00E63484">
        <w:rPr>
          <w:rFonts w:ascii="Avenir Next LT Pro" w:eastAsia="MS Mincho" w:hAnsi="Avenir Next LT Pro" w:cs="Times New Roman"/>
          <w:b/>
          <w:bCs/>
          <w:sz w:val="23"/>
        </w:rPr>
        <w:t>superficie</w:t>
      </w:r>
      <w:r w:rsidRPr="00E63484">
        <w:rPr>
          <w:rFonts w:ascii="Avenir Next LT Pro" w:eastAsia="MS Mincho" w:hAnsi="Avenir Next LT Pro" w:cs="Times New Roman"/>
          <w:sz w:val="23"/>
        </w:rPr>
        <w:t xml:space="preserve">, le quattro Unioni più ampie, con oltre 800 kmq, variano da </w:t>
      </w:r>
      <w:r w:rsidRPr="00E63484">
        <w:rPr>
          <w:rFonts w:ascii="Avenir Next LT Pro" w:eastAsia="MS Mincho" w:hAnsi="Avenir Next LT Pro" w:cs="Times New Roman"/>
          <w:i/>
          <w:sz w:val="23"/>
        </w:rPr>
        <w:t>Good</w:t>
      </w:r>
      <w:r w:rsidRPr="00E63484">
        <w:rPr>
          <w:rFonts w:ascii="Avenir Next LT Pro" w:eastAsia="MS Mincho" w:hAnsi="Avenir Next LT Pro" w:cs="Times New Roman"/>
          <w:sz w:val="23"/>
        </w:rPr>
        <w:t xml:space="preserve"> della Valle del Savio a </w:t>
      </w:r>
      <w:proofErr w:type="spellStart"/>
      <w:r w:rsidRPr="00E63484">
        <w:rPr>
          <w:rFonts w:ascii="Avenir Next LT Pro" w:eastAsia="MS Mincho" w:hAnsi="Avenir Next LT Pro" w:cs="Times New Roman"/>
          <w:i/>
          <w:sz w:val="23"/>
        </w:rPr>
        <w:t>Satisfactory</w:t>
      </w:r>
      <w:proofErr w:type="spellEnd"/>
      <w:r w:rsidRPr="00E63484">
        <w:rPr>
          <w:rFonts w:ascii="Avenir Next LT Pro" w:eastAsia="MS Mincho" w:hAnsi="Avenir Next LT Pro" w:cs="Times New Roman"/>
          <w:sz w:val="23"/>
        </w:rPr>
        <w:t xml:space="preserve"> della Potenza-Esino-Musone a </w:t>
      </w:r>
      <w:proofErr w:type="spellStart"/>
      <w:r w:rsidRPr="00E63484">
        <w:rPr>
          <w:rFonts w:ascii="Avenir Next LT Pro" w:eastAsia="MS Mincho" w:hAnsi="Avenir Next LT Pro" w:cs="Times New Roman"/>
          <w:i/>
          <w:sz w:val="23"/>
        </w:rPr>
        <w:t>Weak</w:t>
      </w:r>
      <w:proofErr w:type="spellEnd"/>
      <w:r w:rsidRPr="00E63484">
        <w:rPr>
          <w:rFonts w:ascii="Avenir Next LT Pro" w:eastAsia="MS Mincho" w:hAnsi="Avenir Next LT Pro" w:cs="Times New Roman"/>
          <w:sz w:val="23"/>
        </w:rPr>
        <w:t xml:space="preserve"> della Valdichiana senese al </w:t>
      </w:r>
      <w:proofErr w:type="spellStart"/>
      <w:r w:rsidRPr="00E63484">
        <w:rPr>
          <w:rFonts w:ascii="Avenir Next LT Pro" w:eastAsia="MS Mincho" w:hAnsi="Avenir Next LT Pro" w:cs="Times New Roman"/>
          <w:i/>
          <w:sz w:val="23"/>
        </w:rPr>
        <w:t>Fallible</w:t>
      </w:r>
      <w:proofErr w:type="spellEnd"/>
      <w:r w:rsidRPr="00E63484">
        <w:rPr>
          <w:rFonts w:ascii="Avenir Next LT Pro" w:eastAsia="MS Mincho" w:hAnsi="Avenir Next LT Pro" w:cs="Times New Roman"/>
          <w:sz w:val="23"/>
        </w:rPr>
        <w:t xml:space="preserve"> delle Madonie. Meno marcata risulta la variabilità sul fronte opposto del </w:t>
      </w:r>
      <w:r w:rsidRPr="00E63484">
        <w:rPr>
          <w:rFonts w:ascii="Avenir Next LT Pro" w:eastAsia="MS Mincho" w:hAnsi="Avenir Next LT Pro" w:cs="Times New Roman"/>
          <w:i/>
          <w:sz w:val="23"/>
        </w:rPr>
        <w:t>ranking</w:t>
      </w:r>
      <w:r w:rsidRPr="00E63484">
        <w:rPr>
          <w:rFonts w:ascii="Avenir Next LT Pro" w:eastAsia="MS Mincho" w:hAnsi="Avenir Next LT Pro" w:cs="Times New Roman"/>
          <w:sz w:val="23"/>
        </w:rPr>
        <w:t>, comunque presente. Dunque, la superficie non sembra avere particolare influenza sullo score finale del campione, così come non pare avercela l’</w:t>
      </w:r>
      <w:r w:rsidRPr="00E63484">
        <w:rPr>
          <w:rFonts w:ascii="Avenir Next LT Pro" w:eastAsia="MS Mincho" w:hAnsi="Avenir Next LT Pro" w:cs="Times New Roman"/>
          <w:b/>
          <w:bCs/>
          <w:sz w:val="23"/>
        </w:rPr>
        <w:t>altitudine massima</w:t>
      </w:r>
      <w:r w:rsidRPr="00E63484">
        <w:rPr>
          <w:rFonts w:ascii="Avenir Next LT Pro" w:eastAsia="MS Mincho" w:hAnsi="Avenir Next LT Pro" w:cs="Times New Roman"/>
          <w:sz w:val="23"/>
        </w:rPr>
        <w:t>: le due Unioni con maggiore altitudine sul livello del mare, così come quelle con la minore, presentano differenze di score.</w:t>
      </w:r>
    </w:p>
    <w:p w14:paraId="2C948311"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Infine, la </w:t>
      </w:r>
      <w:r w:rsidRPr="00E63484">
        <w:rPr>
          <w:rFonts w:ascii="Avenir Next LT Pro" w:eastAsia="MS Mincho" w:hAnsi="Avenir Next LT Pro" w:cs="Times New Roman"/>
          <w:b/>
          <w:bCs/>
          <w:sz w:val="23"/>
        </w:rPr>
        <w:t>variabile economica</w:t>
      </w:r>
      <w:r w:rsidRPr="00E63484">
        <w:rPr>
          <w:rFonts w:ascii="Avenir Next LT Pro" w:eastAsia="MS Mincho" w:hAnsi="Avenir Next LT Pro" w:cs="Times New Roman"/>
          <w:sz w:val="23"/>
        </w:rPr>
        <w:t>: la divaricazione nella ricchezza tra Nord e Sud, evidente dai dati spiegati nel capitolo precedente, non si traduce automaticamente in divaricazione anche nella capacità amministrativa. Più precisamente, le Unioni più povere sono anche le meno performanti, ma le Unioni più ricche non sono automaticamente le più performanti.</w:t>
      </w:r>
    </w:p>
    <w:p w14:paraId="5874E111"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È performante, ad esempio, l’Unione più ricca, l’emiliana Reno Galliera, che supera i 17.000 euro p.c. e ottiene un indice di capacità amministrativa in classe </w:t>
      </w:r>
      <w:r w:rsidRPr="00E63484">
        <w:rPr>
          <w:rFonts w:ascii="Avenir Next LT Pro" w:eastAsia="MS Mincho" w:hAnsi="Avenir Next LT Pro" w:cs="Times New Roman"/>
          <w:i/>
          <w:sz w:val="23"/>
        </w:rPr>
        <w:t>Good</w:t>
      </w:r>
      <w:r w:rsidRPr="00E63484">
        <w:rPr>
          <w:rFonts w:ascii="Avenir Next LT Pro" w:eastAsia="MS Mincho" w:hAnsi="Avenir Next LT Pro" w:cs="Times New Roman"/>
          <w:sz w:val="23"/>
        </w:rPr>
        <w:t xml:space="preserve">, ma non lo è la friulana Collio-Alto Isonzo, che pur avvicinandosi ai 17.000 euro di reddito imponibile p.c., non va oltre la classe </w:t>
      </w:r>
      <w:proofErr w:type="spellStart"/>
      <w:r w:rsidRPr="00E63484">
        <w:rPr>
          <w:rFonts w:ascii="Avenir Next LT Pro" w:eastAsia="MS Mincho" w:hAnsi="Avenir Next LT Pro" w:cs="Times New Roman"/>
          <w:i/>
          <w:sz w:val="23"/>
        </w:rPr>
        <w:t>Poor</w:t>
      </w:r>
      <w:proofErr w:type="spellEnd"/>
      <w:r w:rsidRPr="00E63484">
        <w:rPr>
          <w:rFonts w:ascii="Avenir Next LT Pro" w:eastAsia="MS Mincho" w:hAnsi="Avenir Next LT Pro" w:cs="Times New Roman"/>
          <w:sz w:val="23"/>
        </w:rPr>
        <w:t xml:space="preserve"> per la capacità di amministrare.</w:t>
      </w:r>
    </w:p>
    <w:p w14:paraId="16EB245E"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La stessa differenza si registra tra l’Unione Valle del Savio, ricca e performante, e l’Unione Montana Valli Orco e Soana, ricca ma non performante.</w:t>
      </w:r>
    </w:p>
    <w:p w14:paraId="55DEDFCC" w14:textId="77777777" w:rsidR="00E63484" w:rsidRPr="00E63484" w:rsidRDefault="00E63484" w:rsidP="00E63484">
      <w:pPr>
        <w:spacing w:after="200" w:line="276"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Da notare che le sei Unioni del Sud del campione presentano il reddito imponibile più basso e una bassa capacità amministrativa.</w:t>
      </w:r>
    </w:p>
    <w:p w14:paraId="623C710B" w14:textId="77777777" w:rsidR="00E63484" w:rsidRPr="00E63484" w:rsidRDefault="00E63484" w:rsidP="00E63484">
      <w:pPr>
        <w:spacing w:after="200" w:line="276" w:lineRule="auto"/>
        <w:jc w:val="both"/>
        <w:rPr>
          <w:rFonts w:ascii="Avenir Next LT Pro" w:eastAsia="MS Mincho" w:hAnsi="Avenir Next LT Pro" w:cs="Times New Roman"/>
          <w:sz w:val="23"/>
        </w:rPr>
      </w:pPr>
    </w:p>
    <w:p w14:paraId="43C9AE54" w14:textId="77777777" w:rsidR="00E63484" w:rsidRPr="00E63484" w:rsidRDefault="00E63484" w:rsidP="00E63484">
      <w:pPr>
        <w:keepNext/>
        <w:spacing w:after="200" w:line="240" w:lineRule="auto"/>
        <w:jc w:val="both"/>
        <w:rPr>
          <w:rFonts w:ascii="Avenir Next LT Pro" w:eastAsia="MS Mincho" w:hAnsi="Avenir Next LT Pro" w:cs="Times New Roman"/>
          <w:i/>
          <w:iCs/>
          <w:color w:val="082A75"/>
          <w:sz w:val="23"/>
          <w:szCs w:val="23"/>
        </w:rPr>
      </w:pPr>
      <w:bookmarkStart w:id="1" w:name="_Toc93170915"/>
      <w:r w:rsidRPr="00E63484">
        <w:rPr>
          <w:rFonts w:ascii="Avenir Next LT Pro" w:eastAsia="MS Mincho" w:hAnsi="Avenir Next LT Pro" w:cs="Times New Roman"/>
          <w:i/>
          <w:iCs/>
          <w:color w:val="082A75"/>
          <w:sz w:val="23"/>
          <w:szCs w:val="23"/>
        </w:rPr>
        <w:lastRenderedPageBreak/>
        <w:t xml:space="preserve">Tabella </w:t>
      </w:r>
      <w:r w:rsidRPr="00E63484">
        <w:rPr>
          <w:rFonts w:ascii="Avenir Next LT Pro" w:eastAsia="MS Mincho" w:hAnsi="Avenir Next LT Pro" w:cs="Times New Roman"/>
          <w:i/>
          <w:iCs/>
          <w:color w:val="082A75"/>
          <w:sz w:val="23"/>
          <w:szCs w:val="23"/>
        </w:rPr>
        <w:fldChar w:fldCharType="begin"/>
      </w:r>
      <w:r w:rsidRPr="00E63484">
        <w:rPr>
          <w:rFonts w:ascii="Avenir Next LT Pro" w:eastAsia="MS Mincho" w:hAnsi="Avenir Next LT Pro" w:cs="Times New Roman"/>
          <w:i/>
          <w:iCs/>
          <w:color w:val="082A75"/>
          <w:sz w:val="23"/>
          <w:szCs w:val="23"/>
        </w:rPr>
        <w:instrText xml:space="preserve"> SEQ Tabella \* ARABIC </w:instrText>
      </w:r>
      <w:r w:rsidRPr="00E63484">
        <w:rPr>
          <w:rFonts w:ascii="Avenir Next LT Pro" w:eastAsia="MS Mincho" w:hAnsi="Avenir Next LT Pro" w:cs="Times New Roman"/>
          <w:i/>
          <w:iCs/>
          <w:color w:val="082A75"/>
          <w:sz w:val="23"/>
          <w:szCs w:val="23"/>
        </w:rPr>
        <w:fldChar w:fldCharType="separate"/>
      </w:r>
      <w:r w:rsidRPr="00E63484">
        <w:rPr>
          <w:rFonts w:ascii="Avenir Next LT Pro" w:eastAsia="MS Mincho" w:hAnsi="Avenir Next LT Pro" w:cs="Times New Roman"/>
          <w:i/>
          <w:iCs/>
          <w:noProof/>
          <w:color w:val="082A75"/>
          <w:sz w:val="23"/>
          <w:szCs w:val="23"/>
        </w:rPr>
        <w:t>10</w:t>
      </w:r>
      <w:r w:rsidRPr="00E63484">
        <w:rPr>
          <w:rFonts w:ascii="Avenir Next LT Pro" w:eastAsia="MS Mincho" w:hAnsi="Avenir Next LT Pro" w:cs="Times New Roman"/>
          <w:i/>
          <w:iCs/>
          <w:color w:val="082A75"/>
          <w:sz w:val="23"/>
          <w:szCs w:val="23"/>
        </w:rPr>
        <w:fldChar w:fldCharType="end"/>
      </w:r>
      <w:r w:rsidRPr="00E63484">
        <w:rPr>
          <w:rFonts w:ascii="Avenir Next LT Pro" w:eastAsia="MS Mincho" w:hAnsi="Avenir Next LT Pro" w:cs="Times New Roman"/>
          <w:i/>
          <w:iCs/>
          <w:color w:val="082A75"/>
          <w:sz w:val="23"/>
          <w:szCs w:val="23"/>
        </w:rPr>
        <w:t xml:space="preserve"> RICCHEZZA ECONOMICA E CAPACITÀ AMMINISTRATIVA</w:t>
      </w:r>
      <w:bookmarkEnd w:id="1"/>
    </w:p>
    <w:tbl>
      <w:tblPr>
        <w:tblW w:w="5273" w:type="pct"/>
        <w:tblLayout w:type="fixed"/>
        <w:tblCellMar>
          <w:left w:w="70" w:type="dxa"/>
          <w:right w:w="70" w:type="dxa"/>
        </w:tblCellMar>
        <w:tblLook w:val="04A0" w:firstRow="1" w:lastRow="0" w:firstColumn="1" w:lastColumn="0" w:noHBand="0" w:noVBand="1"/>
      </w:tblPr>
      <w:tblGrid>
        <w:gridCol w:w="518"/>
        <w:gridCol w:w="2338"/>
        <w:gridCol w:w="3715"/>
        <w:gridCol w:w="1714"/>
        <w:gridCol w:w="1858"/>
      </w:tblGrid>
      <w:tr w:rsidR="00E63484" w:rsidRPr="00E63484" w14:paraId="295EEDEE" w14:textId="77777777" w:rsidTr="002D0D86">
        <w:trPr>
          <w:trHeight w:val="397"/>
        </w:trPr>
        <w:tc>
          <w:tcPr>
            <w:tcW w:w="255" w:type="pct"/>
            <w:tcBorders>
              <w:top w:val="single" w:sz="8" w:space="0" w:color="3592CF"/>
              <w:left w:val="single" w:sz="8" w:space="0" w:color="3592CF"/>
              <w:bottom w:val="single" w:sz="8" w:space="0" w:color="3592CF"/>
              <w:right w:val="nil"/>
            </w:tcBorders>
            <w:shd w:val="clear" w:color="000000" w:fill="3592CF"/>
            <w:noWrap/>
            <w:vAlign w:val="center"/>
            <w:hideMark/>
          </w:tcPr>
          <w:p w14:paraId="2B31A59B"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 </w:t>
            </w:r>
          </w:p>
        </w:tc>
        <w:tc>
          <w:tcPr>
            <w:tcW w:w="1152" w:type="pct"/>
            <w:tcBorders>
              <w:top w:val="single" w:sz="8" w:space="0" w:color="3592CF"/>
              <w:left w:val="nil"/>
              <w:bottom w:val="single" w:sz="8" w:space="0" w:color="3592CF"/>
              <w:right w:val="nil"/>
            </w:tcBorders>
            <w:shd w:val="clear" w:color="000000" w:fill="3592CF"/>
            <w:vAlign w:val="center"/>
            <w:hideMark/>
          </w:tcPr>
          <w:p w14:paraId="2AAB0406" w14:textId="77777777" w:rsidR="00E63484" w:rsidRPr="00E63484" w:rsidRDefault="00E63484" w:rsidP="00E63484">
            <w:pPr>
              <w:spacing w:after="0" w:line="240" w:lineRule="auto"/>
              <w:jc w:val="center"/>
              <w:rPr>
                <w:rFonts w:ascii="Avenir Next LT Pro" w:eastAsia="Times New Roman" w:hAnsi="Avenir Next LT Pro" w:cs="Calibri"/>
                <w:b/>
                <w:bCs/>
                <w:color w:val="FFFFFF"/>
                <w:lang w:eastAsia="it-IT"/>
              </w:rPr>
            </w:pPr>
            <w:r w:rsidRPr="00E63484">
              <w:rPr>
                <w:rFonts w:ascii="Avenir Next LT Pro" w:eastAsia="Times New Roman" w:hAnsi="Avenir Next LT Pro" w:cs="Calibri"/>
                <w:b/>
                <w:bCs/>
                <w:color w:val="FFFFFF"/>
                <w:lang w:eastAsia="it-IT"/>
              </w:rPr>
              <w:t>Regione</w:t>
            </w:r>
          </w:p>
        </w:tc>
        <w:tc>
          <w:tcPr>
            <w:tcW w:w="1831" w:type="pct"/>
            <w:tcBorders>
              <w:top w:val="single" w:sz="8" w:space="0" w:color="3592CF"/>
              <w:left w:val="nil"/>
              <w:bottom w:val="single" w:sz="8" w:space="0" w:color="3592CF"/>
              <w:right w:val="nil"/>
            </w:tcBorders>
            <w:shd w:val="clear" w:color="000000" w:fill="3592CF"/>
            <w:vAlign w:val="center"/>
            <w:hideMark/>
          </w:tcPr>
          <w:p w14:paraId="7DC6366A" w14:textId="77777777" w:rsidR="00E63484" w:rsidRPr="00E63484" w:rsidRDefault="00E63484" w:rsidP="00E63484">
            <w:pPr>
              <w:spacing w:after="0" w:line="240" w:lineRule="auto"/>
              <w:jc w:val="center"/>
              <w:rPr>
                <w:rFonts w:ascii="Avenir Next LT Pro" w:eastAsia="Times New Roman" w:hAnsi="Avenir Next LT Pro" w:cs="Calibri"/>
                <w:b/>
                <w:bCs/>
                <w:color w:val="FFFFFF"/>
                <w:lang w:eastAsia="it-IT"/>
              </w:rPr>
            </w:pPr>
            <w:r w:rsidRPr="00E63484">
              <w:rPr>
                <w:rFonts w:ascii="Avenir Next LT Pro" w:eastAsia="Times New Roman" w:hAnsi="Avenir Next LT Pro" w:cs="Calibri"/>
                <w:b/>
                <w:bCs/>
                <w:color w:val="FFFFFF"/>
                <w:lang w:eastAsia="it-IT"/>
              </w:rPr>
              <w:t>Unione</w:t>
            </w:r>
          </w:p>
        </w:tc>
        <w:tc>
          <w:tcPr>
            <w:tcW w:w="845" w:type="pct"/>
            <w:tcBorders>
              <w:top w:val="single" w:sz="8" w:space="0" w:color="3592CF"/>
              <w:left w:val="nil"/>
              <w:bottom w:val="single" w:sz="8" w:space="0" w:color="3592CF"/>
              <w:right w:val="nil"/>
            </w:tcBorders>
            <w:shd w:val="clear" w:color="000000" w:fill="3592CF"/>
            <w:vAlign w:val="center"/>
            <w:hideMark/>
          </w:tcPr>
          <w:p w14:paraId="3822715A" w14:textId="77777777" w:rsidR="00E63484" w:rsidRPr="00E63484" w:rsidRDefault="00E63484" w:rsidP="00E63484">
            <w:pPr>
              <w:spacing w:after="0" w:line="240" w:lineRule="auto"/>
              <w:jc w:val="center"/>
              <w:rPr>
                <w:rFonts w:ascii="Avenir Next LT Pro" w:eastAsia="Times New Roman" w:hAnsi="Avenir Next LT Pro" w:cs="Calibri"/>
                <w:b/>
                <w:bCs/>
                <w:color w:val="FFFFFF"/>
                <w:lang w:eastAsia="it-IT"/>
              </w:rPr>
            </w:pPr>
            <w:r w:rsidRPr="00E63484">
              <w:rPr>
                <w:rFonts w:ascii="Avenir Next LT Pro" w:eastAsia="Times New Roman" w:hAnsi="Avenir Next LT Pro" w:cs="Calibri"/>
                <w:b/>
                <w:bCs/>
                <w:color w:val="FFFFFF"/>
                <w:lang w:eastAsia="it-IT"/>
              </w:rPr>
              <w:t>Reddito imponibile p.c. (euro)</w:t>
            </w:r>
          </w:p>
        </w:tc>
        <w:tc>
          <w:tcPr>
            <w:tcW w:w="916" w:type="pct"/>
            <w:tcBorders>
              <w:top w:val="single" w:sz="8" w:space="0" w:color="3592CF"/>
              <w:left w:val="nil"/>
              <w:bottom w:val="single" w:sz="8" w:space="0" w:color="3592CF"/>
              <w:right w:val="single" w:sz="8" w:space="0" w:color="3592CF"/>
            </w:tcBorders>
            <w:shd w:val="clear" w:color="000000" w:fill="3592CF"/>
            <w:vAlign w:val="center"/>
            <w:hideMark/>
          </w:tcPr>
          <w:p w14:paraId="1C635274" w14:textId="77777777" w:rsidR="00E63484" w:rsidRPr="00E63484" w:rsidRDefault="00E63484" w:rsidP="00E63484">
            <w:pPr>
              <w:spacing w:after="0" w:line="240" w:lineRule="auto"/>
              <w:jc w:val="center"/>
              <w:rPr>
                <w:rFonts w:ascii="Avenir Next LT Pro" w:eastAsia="Times New Roman" w:hAnsi="Avenir Next LT Pro" w:cs="Calibri"/>
                <w:b/>
                <w:bCs/>
                <w:color w:val="FFFFFF"/>
                <w:lang w:eastAsia="it-IT"/>
              </w:rPr>
            </w:pPr>
            <w:r w:rsidRPr="00E63484">
              <w:rPr>
                <w:rFonts w:ascii="Avenir Next LT Pro" w:eastAsia="Times New Roman" w:hAnsi="Avenir Next LT Pro" w:cs="Calibri"/>
                <w:b/>
                <w:bCs/>
                <w:color w:val="FFFFFF"/>
                <w:lang w:eastAsia="it-IT"/>
              </w:rPr>
              <w:t>Indice Capacità Amministrativa</w:t>
            </w:r>
          </w:p>
        </w:tc>
      </w:tr>
      <w:tr w:rsidR="00E63484" w:rsidRPr="00E63484" w14:paraId="355E5BEB"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39DA895F"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w:t>
            </w:r>
          </w:p>
        </w:tc>
        <w:tc>
          <w:tcPr>
            <w:tcW w:w="1152" w:type="pct"/>
            <w:tcBorders>
              <w:top w:val="nil"/>
              <w:left w:val="nil"/>
              <w:bottom w:val="single" w:sz="8" w:space="0" w:color="85BDE2"/>
              <w:right w:val="single" w:sz="8" w:space="0" w:color="85BDE2"/>
            </w:tcBorders>
            <w:shd w:val="clear" w:color="000000" w:fill="D6E9F5"/>
            <w:vAlign w:val="center"/>
            <w:hideMark/>
          </w:tcPr>
          <w:p w14:paraId="0FD4C70C"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Emilia-Romagna</w:t>
            </w:r>
          </w:p>
        </w:tc>
        <w:tc>
          <w:tcPr>
            <w:tcW w:w="1831" w:type="pct"/>
            <w:tcBorders>
              <w:top w:val="nil"/>
              <w:left w:val="nil"/>
              <w:bottom w:val="single" w:sz="8" w:space="0" w:color="85BDE2"/>
              <w:right w:val="single" w:sz="8" w:space="0" w:color="85BDE2"/>
            </w:tcBorders>
            <w:shd w:val="clear" w:color="000000" w:fill="D6E9F5"/>
            <w:vAlign w:val="center"/>
            <w:hideMark/>
          </w:tcPr>
          <w:p w14:paraId="70E4E069"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U Reno Galliera</w:t>
            </w:r>
          </w:p>
        </w:tc>
        <w:tc>
          <w:tcPr>
            <w:tcW w:w="845" w:type="pct"/>
            <w:tcBorders>
              <w:top w:val="nil"/>
              <w:left w:val="nil"/>
              <w:bottom w:val="single" w:sz="8" w:space="0" w:color="85BDE2"/>
              <w:right w:val="single" w:sz="8" w:space="0" w:color="85BDE2"/>
            </w:tcBorders>
            <w:shd w:val="clear" w:color="000000" w:fill="D6E9F5"/>
            <w:vAlign w:val="center"/>
            <w:hideMark/>
          </w:tcPr>
          <w:p w14:paraId="1782202C"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17.307</w:t>
            </w:r>
          </w:p>
        </w:tc>
        <w:tc>
          <w:tcPr>
            <w:tcW w:w="916" w:type="pct"/>
            <w:tcBorders>
              <w:top w:val="nil"/>
              <w:left w:val="nil"/>
              <w:bottom w:val="single" w:sz="8" w:space="0" w:color="85BDE2"/>
              <w:right w:val="single" w:sz="8" w:space="0" w:color="85BDE2"/>
            </w:tcBorders>
            <w:shd w:val="clear" w:color="000000" w:fill="D6E9F5"/>
            <w:noWrap/>
            <w:vAlign w:val="center"/>
            <w:hideMark/>
          </w:tcPr>
          <w:p w14:paraId="7618ED8E"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70</w:t>
            </w:r>
          </w:p>
        </w:tc>
      </w:tr>
      <w:tr w:rsidR="00E63484" w:rsidRPr="00E63484" w14:paraId="28C0F83A"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7FF91F9B"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w:t>
            </w:r>
          </w:p>
        </w:tc>
        <w:tc>
          <w:tcPr>
            <w:tcW w:w="1152" w:type="pct"/>
            <w:tcBorders>
              <w:top w:val="nil"/>
              <w:left w:val="nil"/>
              <w:bottom w:val="single" w:sz="8" w:space="0" w:color="85BDE2"/>
              <w:right w:val="single" w:sz="8" w:space="0" w:color="85BDE2"/>
            </w:tcBorders>
            <w:shd w:val="clear" w:color="auto" w:fill="auto"/>
            <w:vAlign w:val="center"/>
            <w:hideMark/>
          </w:tcPr>
          <w:p w14:paraId="133E8A54"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Friuli-Venezia Giulia</w:t>
            </w:r>
          </w:p>
        </w:tc>
        <w:tc>
          <w:tcPr>
            <w:tcW w:w="1831" w:type="pct"/>
            <w:tcBorders>
              <w:top w:val="nil"/>
              <w:left w:val="nil"/>
              <w:bottom w:val="single" w:sz="8" w:space="0" w:color="85BDE2"/>
              <w:right w:val="single" w:sz="8" w:space="0" w:color="85BDE2"/>
            </w:tcBorders>
            <w:shd w:val="clear" w:color="auto" w:fill="auto"/>
            <w:vAlign w:val="center"/>
            <w:hideMark/>
          </w:tcPr>
          <w:p w14:paraId="614D664C"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UTI Collio-Alto Isonzo</w:t>
            </w:r>
          </w:p>
        </w:tc>
        <w:tc>
          <w:tcPr>
            <w:tcW w:w="845" w:type="pct"/>
            <w:tcBorders>
              <w:top w:val="nil"/>
              <w:left w:val="nil"/>
              <w:bottom w:val="single" w:sz="8" w:space="0" w:color="85BDE2"/>
              <w:right w:val="single" w:sz="8" w:space="0" w:color="85BDE2"/>
            </w:tcBorders>
            <w:shd w:val="clear" w:color="auto" w:fill="auto"/>
            <w:vAlign w:val="center"/>
            <w:hideMark/>
          </w:tcPr>
          <w:p w14:paraId="715A4AC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16.762</w:t>
            </w:r>
          </w:p>
        </w:tc>
        <w:tc>
          <w:tcPr>
            <w:tcW w:w="916" w:type="pct"/>
            <w:tcBorders>
              <w:top w:val="nil"/>
              <w:left w:val="nil"/>
              <w:bottom w:val="single" w:sz="8" w:space="0" w:color="85BDE2"/>
              <w:right w:val="single" w:sz="8" w:space="0" w:color="85BDE2"/>
            </w:tcBorders>
            <w:shd w:val="clear" w:color="auto" w:fill="auto"/>
            <w:noWrap/>
            <w:vAlign w:val="center"/>
            <w:hideMark/>
          </w:tcPr>
          <w:p w14:paraId="2FF36D9D"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31</w:t>
            </w:r>
          </w:p>
        </w:tc>
      </w:tr>
      <w:tr w:rsidR="00E63484" w:rsidRPr="00E63484" w14:paraId="2F48EBB9"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0DFF9AE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3</w:t>
            </w:r>
          </w:p>
        </w:tc>
        <w:tc>
          <w:tcPr>
            <w:tcW w:w="1152" w:type="pct"/>
            <w:tcBorders>
              <w:top w:val="nil"/>
              <w:left w:val="nil"/>
              <w:bottom w:val="single" w:sz="8" w:space="0" w:color="85BDE2"/>
              <w:right w:val="single" w:sz="8" w:space="0" w:color="85BDE2"/>
            </w:tcBorders>
            <w:shd w:val="clear" w:color="000000" w:fill="D6E9F5"/>
            <w:vAlign w:val="center"/>
            <w:hideMark/>
          </w:tcPr>
          <w:p w14:paraId="21E60428"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Piemonte</w:t>
            </w:r>
          </w:p>
        </w:tc>
        <w:tc>
          <w:tcPr>
            <w:tcW w:w="1831" w:type="pct"/>
            <w:tcBorders>
              <w:top w:val="nil"/>
              <w:left w:val="nil"/>
              <w:bottom w:val="single" w:sz="8" w:space="0" w:color="85BDE2"/>
              <w:right w:val="single" w:sz="8" w:space="0" w:color="85BDE2"/>
            </w:tcBorders>
            <w:shd w:val="clear" w:color="000000" w:fill="D6E9F5"/>
            <w:vAlign w:val="center"/>
            <w:hideMark/>
          </w:tcPr>
          <w:p w14:paraId="103A3884"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UM Val Gallenca</w:t>
            </w:r>
          </w:p>
        </w:tc>
        <w:tc>
          <w:tcPr>
            <w:tcW w:w="845" w:type="pct"/>
            <w:tcBorders>
              <w:top w:val="nil"/>
              <w:left w:val="nil"/>
              <w:bottom w:val="single" w:sz="8" w:space="0" w:color="85BDE2"/>
              <w:right w:val="single" w:sz="8" w:space="0" w:color="85BDE2"/>
            </w:tcBorders>
            <w:shd w:val="clear" w:color="000000" w:fill="D6E9F5"/>
            <w:vAlign w:val="center"/>
            <w:hideMark/>
          </w:tcPr>
          <w:p w14:paraId="2496EC7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16.608</w:t>
            </w:r>
          </w:p>
        </w:tc>
        <w:tc>
          <w:tcPr>
            <w:tcW w:w="916" w:type="pct"/>
            <w:tcBorders>
              <w:top w:val="nil"/>
              <w:left w:val="nil"/>
              <w:bottom w:val="single" w:sz="8" w:space="0" w:color="85BDE2"/>
              <w:right w:val="single" w:sz="8" w:space="0" w:color="85BDE2"/>
            </w:tcBorders>
            <w:shd w:val="clear" w:color="000000" w:fill="D6E9F5"/>
            <w:noWrap/>
            <w:vAlign w:val="center"/>
            <w:hideMark/>
          </w:tcPr>
          <w:p w14:paraId="4CFA0970"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29</w:t>
            </w:r>
          </w:p>
        </w:tc>
      </w:tr>
      <w:tr w:rsidR="00E63484" w:rsidRPr="00E63484" w14:paraId="4FBC5D14"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1B87F07A"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4</w:t>
            </w:r>
          </w:p>
        </w:tc>
        <w:tc>
          <w:tcPr>
            <w:tcW w:w="1152" w:type="pct"/>
            <w:tcBorders>
              <w:top w:val="nil"/>
              <w:left w:val="nil"/>
              <w:bottom w:val="single" w:sz="8" w:space="0" w:color="85BDE2"/>
              <w:right w:val="single" w:sz="8" w:space="0" w:color="85BDE2"/>
            </w:tcBorders>
            <w:shd w:val="clear" w:color="auto" w:fill="auto"/>
            <w:vAlign w:val="center"/>
            <w:hideMark/>
          </w:tcPr>
          <w:p w14:paraId="49212ABF"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1831" w:type="pct"/>
            <w:tcBorders>
              <w:top w:val="nil"/>
              <w:left w:val="nil"/>
              <w:bottom w:val="single" w:sz="8" w:space="0" w:color="85BDE2"/>
              <w:right w:val="single" w:sz="8" w:space="0" w:color="85BDE2"/>
            </w:tcBorders>
            <w:shd w:val="clear" w:color="auto" w:fill="auto"/>
            <w:vAlign w:val="center"/>
            <w:hideMark/>
          </w:tcPr>
          <w:p w14:paraId="1871C498"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Caldogno - Costabissara - Isola Vicentina</w:t>
            </w:r>
          </w:p>
        </w:tc>
        <w:tc>
          <w:tcPr>
            <w:tcW w:w="845" w:type="pct"/>
            <w:tcBorders>
              <w:top w:val="nil"/>
              <w:left w:val="nil"/>
              <w:bottom w:val="single" w:sz="8" w:space="0" w:color="85BDE2"/>
              <w:right w:val="single" w:sz="8" w:space="0" w:color="85BDE2"/>
            </w:tcBorders>
            <w:shd w:val="clear" w:color="auto" w:fill="auto"/>
            <w:vAlign w:val="center"/>
            <w:hideMark/>
          </w:tcPr>
          <w:p w14:paraId="5F8FC193"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16.218</w:t>
            </w:r>
          </w:p>
        </w:tc>
        <w:tc>
          <w:tcPr>
            <w:tcW w:w="916" w:type="pct"/>
            <w:tcBorders>
              <w:top w:val="nil"/>
              <w:left w:val="nil"/>
              <w:bottom w:val="single" w:sz="8" w:space="0" w:color="85BDE2"/>
              <w:right w:val="single" w:sz="8" w:space="0" w:color="85BDE2"/>
            </w:tcBorders>
            <w:shd w:val="clear" w:color="auto" w:fill="auto"/>
            <w:noWrap/>
            <w:vAlign w:val="center"/>
            <w:hideMark/>
          </w:tcPr>
          <w:p w14:paraId="290213BF"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28</w:t>
            </w:r>
          </w:p>
        </w:tc>
      </w:tr>
      <w:tr w:rsidR="00E63484" w:rsidRPr="00E63484" w14:paraId="0822076E"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084BA82D"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5</w:t>
            </w:r>
          </w:p>
        </w:tc>
        <w:tc>
          <w:tcPr>
            <w:tcW w:w="1152" w:type="pct"/>
            <w:tcBorders>
              <w:top w:val="nil"/>
              <w:left w:val="nil"/>
              <w:bottom w:val="single" w:sz="8" w:space="0" w:color="85BDE2"/>
              <w:right w:val="single" w:sz="8" w:space="0" w:color="85BDE2"/>
            </w:tcBorders>
            <w:shd w:val="clear" w:color="000000" w:fill="D6E9F5"/>
            <w:vAlign w:val="center"/>
            <w:hideMark/>
          </w:tcPr>
          <w:p w14:paraId="597F8D01"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000000" w:fill="D6E9F5"/>
            <w:vAlign w:val="center"/>
            <w:hideMark/>
          </w:tcPr>
          <w:p w14:paraId="0D514438"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 Romagna Faentina</w:t>
            </w:r>
          </w:p>
        </w:tc>
        <w:tc>
          <w:tcPr>
            <w:tcW w:w="845" w:type="pct"/>
            <w:tcBorders>
              <w:top w:val="nil"/>
              <w:left w:val="nil"/>
              <w:bottom w:val="single" w:sz="8" w:space="0" w:color="85BDE2"/>
              <w:right w:val="single" w:sz="8" w:space="0" w:color="85BDE2"/>
            </w:tcBorders>
            <w:shd w:val="clear" w:color="000000" w:fill="D6E9F5"/>
            <w:vAlign w:val="center"/>
            <w:hideMark/>
          </w:tcPr>
          <w:p w14:paraId="01B2DE8E"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16.119</w:t>
            </w:r>
          </w:p>
        </w:tc>
        <w:tc>
          <w:tcPr>
            <w:tcW w:w="916" w:type="pct"/>
            <w:tcBorders>
              <w:top w:val="nil"/>
              <w:left w:val="nil"/>
              <w:bottom w:val="single" w:sz="8" w:space="0" w:color="85BDE2"/>
              <w:right w:val="single" w:sz="8" w:space="0" w:color="85BDE2"/>
            </w:tcBorders>
            <w:shd w:val="clear" w:color="000000" w:fill="D6E9F5"/>
            <w:noWrap/>
            <w:vAlign w:val="center"/>
            <w:hideMark/>
          </w:tcPr>
          <w:p w14:paraId="4610A8A1"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64</w:t>
            </w:r>
          </w:p>
        </w:tc>
      </w:tr>
      <w:tr w:rsidR="00E63484" w:rsidRPr="00E63484" w14:paraId="4644E5AA"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1C83B066"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6</w:t>
            </w:r>
          </w:p>
        </w:tc>
        <w:tc>
          <w:tcPr>
            <w:tcW w:w="1152" w:type="pct"/>
            <w:tcBorders>
              <w:top w:val="nil"/>
              <w:left w:val="nil"/>
              <w:bottom w:val="single" w:sz="8" w:space="0" w:color="85BDE2"/>
              <w:right w:val="single" w:sz="8" w:space="0" w:color="85BDE2"/>
            </w:tcBorders>
            <w:shd w:val="clear" w:color="auto" w:fill="auto"/>
            <w:vAlign w:val="center"/>
            <w:hideMark/>
          </w:tcPr>
          <w:p w14:paraId="0312FDB1"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auto" w:fill="auto"/>
            <w:vAlign w:val="center"/>
            <w:hideMark/>
          </w:tcPr>
          <w:p w14:paraId="0A9B3177"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Bassa Reggiana</w:t>
            </w:r>
          </w:p>
        </w:tc>
        <w:tc>
          <w:tcPr>
            <w:tcW w:w="845" w:type="pct"/>
            <w:tcBorders>
              <w:top w:val="nil"/>
              <w:left w:val="nil"/>
              <w:bottom w:val="single" w:sz="8" w:space="0" w:color="85BDE2"/>
              <w:right w:val="single" w:sz="8" w:space="0" w:color="85BDE2"/>
            </w:tcBorders>
            <w:shd w:val="clear" w:color="auto" w:fill="auto"/>
            <w:vAlign w:val="center"/>
            <w:hideMark/>
          </w:tcPr>
          <w:p w14:paraId="7EC5649E"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15.911</w:t>
            </w:r>
          </w:p>
        </w:tc>
        <w:tc>
          <w:tcPr>
            <w:tcW w:w="916" w:type="pct"/>
            <w:tcBorders>
              <w:top w:val="nil"/>
              <w:left w:val="nil"/>
              <w:bottom w:val="single" w:sz="8" w:space="0" w:color="85BDE2"/>
              <w:right w:val="single" w:sz="8" w:space="0" w:color="85BDE2"/>
            </w:tcBorders>
            <w:shd w:val="clear" w:color="auto" w:fill="auto"/>
            <w:noWrap/>
            <w:vAlign w:val="center"/>
            <w:hideMark/>
          </w:tcPr>
          <w:p w14:paraId="75B1EFAE"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51</w:t>
            </w:r>
          </w:p>
        </w:tc>
      </w:tr>
      <w:tr w:rsidR="00E63484" w:rsidRPr="00E63484" w14:paraId="2A6C69F6"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5C2B838C"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7</w:t>
            </w:r>
          </w:p>
        </w:tc>
        <w:tc>
          <w:tcPr>
            <w:tcW w:w="1152" w:type="pct"/>
            <w:tcBorders>
              <w:top w:val="nil"/>
              <w:left w:val="nil"/>
              <w:bottom w:val="single" w:sz="8" w:space="0" w:color="85BDE2"/>
              <w:right w:val="single" w:sz="8" w:space="0" w:color="85BDE2"/>
            </w:tcBorders>
            <w:shd w:val="clear" w:color="000000" w:fill="D6E9F5"/>
            <w:vAlign w:val="center"/>
            <w:hideMark/>
          </w:tcPr>
          <w:p w14:paraId="0C627511"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000000" w:fill="D6E9F5"/>
            <w:vAlign w:val="center"/>
            <w:hideMark/>
          </w:tcPr>
          <w:p w14:paraId="3831D389"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UC Valle del Savio</w:t>
            </w:r>
          </w:p>
        </w:tc>
        <w:tc>
          <w:tcPr>
            <w:tcW w:w="845" w:type="pct"/>
            <w:tcBorders>
              <w:top w:val="nil"/>
              <w:left w:val="nil"/>
              <w:bottom w:val="single" w:sz="8" w:space="0" w:color="85BDE2"/>
              <w:right w:val="single" w:sz="8" w:space="0" w:color="85BDE2"/>
            </w:tcBorders>
            <w:shd w:val="clear" w:color="000000" w:fill="D6E9F5"/>
            <w:vAlign w:val="center"/>
            <w:hideMark/>
          </w:tcPr>
          <w:p w14:paraId="6A8CF7BF"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15.841</w:t>
            </w:r>
          </w:p>
        </w:tc>
        <w:tc>
          <w:tcPr>
            <w:tcW w:w="916" w:type="pct"/>
            <w:tcBorders>
              <w:top w:val="nil"/>
              <w:left w:val="nil"/>
              <w:bottom w:val="single" w:sz="8" w:space="0" w:color="85BDE2"/>
              <w:right w:val="single" w:sz="8" w:space="0" w:color="85BDE2"/>
            </w:tcBorders>
            <w:shd w:val="clear" w:color="000000" w:fill="D6E9F5"/>
            <w:noWrap/>
            <w:vAlign w:val="center"/>
            <w:hideMark/>
          </w:tcPr>
          <w:p w14:paraId="3D095771"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75</w:t>
            </w:r>
          </w:p>
        </w:tc>
      </w:tr>
      <w:tr w:rsidR="00E63484" w:rsidRPr="00E63484" w14:paraId="6896D605"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1C29C907"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8</w:t>
            </w:r>
          </w:p>
        </w:tc>
        <w:tc>
          <w:tcPr>
            <w:tcW w:w="1152" w:type="pct"/>
            <w:tcBorders>
              <w:top w:val="nil"/>
              <w:left w:val="nil"/>
              <w:bottom w:val="single" w:sz="8" w:space="0" w:color="85BDE2"/>
              <w:right w:val="single" w:sz="8" w:space="0" w:color="85BDE2"/>
            </w:tcBorders>
            <w:shd w:val="clear" w:color="auto" w:fill="auto"/>
            <w:vAlign w:val="center"/>
            <w:hideMark/>
          </w:tcPr>
          <w:p w14:paraId="0A11D009"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1831" w:type="pct"/>
            <w:tcBorders>
              <w:top w:val="nil"/>
              <w:left w:val="nil"/>
              <w:bottom w:val="single" w:sz="8" w:space="0" w:color="85BDE2"/>
              <w:right w:val="single" w:sz="8" w:space="0" w:color="85BDE2"/>
            </w:tcBorders>
            <w:shd w:val="clear" w:color="auto" w:fill="auto"/>
            <w:vAlign w:val="center"/>
            <w:hideMark/>
          </w:tcPr>
          <w:p w14:paraId="6866AF7A"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Riviera del Brenta</w:t>
            </w:r>
          </w:p>
        </w:tc>
        <w:tc>
          <w:tcPr>
            <w:tcW w:w="845" w:type="pct"/>
            <w:tcBorders>
              <w:top w:val="nil"/>
              <w:left w:val="nil"/>
              <w:bottom w:val="single" w:sz="8" w:space="0" w:color="85BDE2"/>
              <w:right w:val="single" w:sz="8" w:space="0" w:color="85BDE2"/>
            </w:tcBorders>
            <w:shd w:val="clear" w:color="auto" w:fill="auto"/>
            <w:vAlign w:val="center"/>
            <w:hideMark/>
          </w:tcPr>
          <w:p w14:paraId="4666BCBA"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15.456</w:t>
            </w:r>
          </w:p>
        </w:tc>
        <w:tc>
          <w:tcPr>
            <w:tcW w:w="916" w:type="pct"/>
            <w:tcBorders>
              <w:top w:val="nil"/>
              <w:left w:val="nil"/>
              <w:bottom w:val="single" w:sz="8" w:space="0" w:color="85BDE2"/>
              <w:right w:val="single" w:sz="8" w:space="0" w:color="85BDE2"/>
            </w:tcBorders>
            <w:shd w:val="clear" w:color="auto" w:fill="auto"/>
            <w:noWrap/>
            <w:vAlign w:val="center"/>
            <w:hideMark/>
          </w:tcPr>
          <w:p w14:paraId="6E630A80"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50</w:t>
            </w:r>
          </w:p>
        </w:tc>
      </w:tr>
      <w:tr w:rsidR="00E63484" w:rsidRPr="00E63484" w14:paraId="03CFDAC1"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7D9D7207"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9</w:t>
            </w:r>
          </w:p>
        </w:tc>
        <w:tc>
          <w:tcPr>
            <w:tcW w:w="1152" w:type="pct"/>
            <w:tcBorders>
              <w:top w:val="nil"/>
              <w:left w:val="nil"/>
              <w:bottom w:val="single" w:sz="8" w:space="0" w:color="85BDE2"/>
              <w:right w:val="single" w:sz="8" w:space="0" w:color="85BDE2"/>
            </w:tcBorders>
            <w:shd w:val="clear" w:color="000000" w:fill="D6E9F5"/>
            <w:vAlign w:val="center"/>
            <w:hideMark/>
          </w:tcPr>
          <w:p w14:paraId="1C2C6C2F"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Marche</w:t>
            </w:r>
          </w:p>
        </w:tc>
        <w:tc>
          <w:tcPr>
            <w:tcW w:w="1831" w:type="pct"/>
            <w:tcBorders>
              <w:top w:val="nil"/>
              <w:left w:val="nil"/>
              <w:bottom w:val="single" w:sz="8" w:space="0" w:color="85BDE2"/>
              <w:right w:val="single" w:sz="8" w:space="0" w:color="85BDE2"/>
            </w:tcBorders>
            <w:shd w:val="clear" w:color="000000" w:fill="D6E9F5"/>
            <w:vAlign w:val="center"/>
            <w:hideMark/>
          </w:tcPr>
          <w:p w14:paraId="6F3F0171"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 Pian del Bruscolo</w:t>
            </w:r>
          </w:p>
        </w:tc>
        <w:tc>
          <w:tcPr>
            <w:tcW w:w="845" w:type="pct"/>
            <w:tcBorders>
              <w:top w:val="nil"/>
              <w:left w:val="nil"/>
              <w:bottom w:val="single" w:sz="8" w:space="0" w:color="85BDE2"/>
              <w:right w:val="single" w:sz="8" w:space="0" w:color="85BDE2"/>
            </w:tcBorders>
            <w:shd w:val="clear" w:color="000000" w:fill="D6E9F5"/>
            <w:vAlign w:val="center"/>
            <w:hideMark/>
          </w:tcPr>
          <w:p w14:paraId="5F2738FF"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15.428</w:t>
            </w:r>
          </w:p>
        </w:tc>
        <w:tc>
          <w:tcPr>
            <w:tcW w:w="916" w:type="pct"/>
            <w:tcBorders>
              <w:top w:val="nil"/>
              <w:left w:val="nil"/>
              <w:bottom w:val="single" w:sz="8" w:space="0" w:color="85BDE2"/>
              <w:right w:val="single" w:sz="8" w:space="0" w:color="85BDE2"/>
            </w:tcBorders>
            <w:shd w:val="clear" w:color="000000" w:fill="D6E9F5"/>
            <w:noWrap/>
            <w:vAlign w:val="center"/>
            <w:hideMark/>
          </w:tcPr>
          <w:p w14:paraId="7EC26CAB"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40</w:t>
            </w:r>
          </w:p>
        </w:tc>
      </w:tr>
      <w:tr w:rsidR="00E63484" w:rsidRPr="00E63484" w14:paraId="015ABEED"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5807D0B0"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10</w:t>
            </w:r>
          </w:p>
        </w:tc>
        <w:tc>
          <w:tcPr>
            <w:tcW w:w="1152" w:type="pct"/>
            <w:tcBorders>
              <w:top w:val="nil"/>
              <w:left w:val="nil"/>
              <w:bottom w:val="single" w:sz="8" w:space="0" w:color="85BDE2"/>
              <w:right w:val="single" w:sz="8" w:space="0" w:color="85BDE2"/>
            </w:tcBorders>
            <w:shd w:val="clear" w:color="auto" w:fill="auto"/>
            <w:vAlign w:val="center"/>
            <w:hideMark/>
          </w:tcPr>
          <w:p w14:paraId="3EDDE114"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1831" w:type="pct"/>
            <w:tcBorders>
              <w:top w:val="nil"/>
              <w:left w:val="nil"/>
              <w:bottom w:val="single" w:sz="8" w:space="0" w:color="85BDE2"/>
              <w:right w:val="single" w:sz="8" w:space="0" w:color="85BDE2"/>
            </w:tcBorders>
            <w:shd w:val="clear" w:color="auto" w:fill="auto"/>
            <w:vAlign w:val="center"/>
            <w:hideMark/>
          </w:tcPr>
          <w:p w14:paraId="6110A0BE"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Circondario Empolese Valdelsa</w:t>
            </w:r>
          </w:p>
        </w:tc>
        <w:tc>
          <w:tcPr>
            <w:tcW w:w="845" w:type="pct"/>
            <w:tcBorders>
              <w:top w:val="nil"/>
              <w:left w:val="nil"/>
              <w:bottom w:val="single" w:sz="8" w:space="0" w:color="85BDE2"/>
              <w:right w:val="single" w:sz="8" w:space="0" w:color="85BDE2"/>
            </w:tcBorders>
            <w:shd w:val="clear" w:color="auto" w:fill="auto"/>
            <w:vAlign w:val="center"/>
            <w:hideMark/>
          </w:tcPr>
          <w:p w14:paraId="55F3891D"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14.867</w:t>
            </w:r>
          </w:p>
        </w:tc>
        <w:tc>
          <w:tcPr>
            <w:tcW w:w="916" w:type="pct"/>
            <w:tcBorders>
              <w:top w:val="nil"/>
              <w:left w:val="nil"/>
              <w:bottom w:val="single" w:sz="8" w:space="0" w:color="85BDE2"/>
              <w:right w:val="single" w:sz="8" w:space="0" w:color="85BDE2"/>
            </w:tcBorders>
            <w:shd w:val="clear" w:color="auto" w:fill="auto"/>
            <w:noWrap/>
            <w:vAlign w:val="center"/>
            <w:hideMark/>
          </w:tcPr>
          <w:p w14:paraId="7AE0138B"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42</w:t>
            </w:r>
          </w:p>
        </w:tc>
      </w:tr>
      <w:tr w:rsidR="00E63484" w:rsidRPr="00E63484" w14:paraId="4B244F24"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115B2E4B"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11</w:t>
            </w:r>
          </w:p>
        </w:tc>
        <w:tc>
          <w:tcPr>
            <w:tcW w:w="1152" w:type="pct"/>
            <w:tcBorders>
              <w:top w:val="nil"/>
              <w:left w:val="nil"/>
              <w:bottom w:val="single" w:sz="8" w:space="0" w:color="85BDE2"/>
              <w:right w:val="single" w:sz="8" w:space="0" w:color="85BDE2"/>
            </w:tcBorders>
            <w:shd w:val="clear" w:color="000000" w:fill="D6E9F5"/>
            <w:vAlign w:val="center"/>
            <w:hideMark/>
          </w:tcPr>
          <w:p w14:paraId="720B9C75"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Veneto</w:t>
            </w:r>
          </w:p>
        </w:tc>
        <w:tc>
          <w:tcPr>
            <w:tcW w:w="1831" w:type="pct"/>
            <w:tcBorders>
              <w:top w:val="nil"/>
              <w:left w:val="nil"/>
              <w:bottom w:val="single" w:sz="8" w:space="0" w:color="85BDE2"/>
              <w:right w:val="single" w:sz="8" w:space="0" w:color="85BDE2"/>
            </w:tcBorders>
            <w:shd w:val="clear" w:color="000000" w:fill="D6E9F5"/>
            <w:vAlign w:val="center"/>
            <w:hideMark/>
          </w:tcPr>
          <w:p w14:paraId="427E1619"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FC Camposampierese</w:t>
            </w:r>
          </w:p>
        </w:tc>
        <w:tc>
          <w:tcPr>
            <w:tcW w:w="845" w:type="pct"/>
            <w:tcBorders>
              <w:top w:val="nil"/>
              <w:left w:val="nil"/>
              <w:bottom w:val="single" w:sz="8" w:space="0" w:color="85BDE2"/>
              <w:right w:val="single" w:sz="8" w:space="0" w:color="85BDE2"/>
            </w:tcBorders>
            <w:shd w:val="clear" w:color="000000" w:fill="D6E9F5"/>
            <w:vAlign w:val="center"/>
            <w:hideMark/>
          </w:tcPr>
          <w:p w14:paraId="7A229A5D"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14.817</w:t>
            </w:r>
          </w:p>
        </w:tc>
        <w:tc>
          <w:tcPr>
            <w:tcW w:w="916" w:type="pct"/>
            <w:tcBorders>
              <w:top w:val="nil"/>
              <w:left w:val="nil"/>
              <w:bottom w:val="single" w:sz="8" w:space="0" w:color="85BDE2"/>
              <w:right w:val="single" w:sz="8" w:space="0" w:color="85BDE2"/>
            </w:tcBorders>
            <w:shd w:val="clear" w:color="000000" w:fill="D6E9F5"/>
            <w:noWrap/>
            <w:vAlign w:val="center"/>
            <w:hideMark/>
          </w:tcPr>
          <w:p w14:paraId="1C88E776"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59</w:t>
            </w:r>
          </w:p>
        </w:tc>
      </w:tr>
      <w:tr w:rsidR="00E63484" w:rsidRPr="00E63484" w14:paraId="59E0198C"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4AFCF789"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12</w:t>
            </w:r>
          </w:p>
        </w:tc>
        <w:tc>
          <w:tcPr>
            <w:tcW w:w="1152" w:type="pct"/>
            <w:tcBorders>
              <w:top w:val="nil"/>
              <w:left w:val="nil"/>
              <w:bottom w:val="single" w:sz="8" w:space="0" w:color="85BDE2"/>
              <w:right w:val="single" w:sz="8" w:space="0" w:color="85BDE2"/>
            </w:tcBorders>
            <w:shd w:val="clear" w:color="auto" w:fill="auto"/>
            <w:vAlign w:val="center"/>
            <w:hideMark/>
          </w:tcPr>
          <w:p w14:paraId="65B12C57"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auto" w:fill="auto"/>
            <w:vAlign w:val="center"/>
            <w:hideMark/>
          </w:tcPr>
          <w:p w14:paraId="58FF032F"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Terre e Fiumi</w:t>
            </w:r>
          </w:p>
        </w:tc>
        <w:tc>
          <w:tcPr>
            <w:tcW w:w="845" w:type="pct"/>
            <w:tcBorders>
              <w:top w:val="nil"/>
              <w:left w:val="nil"/>
              <w:bottom w:val="single" w:sz="8" w:space="0" w:color="85BDE2"/>
              <w:right w:val="single" w:sz="8" w:space="0" w:color="85BDE2"/>
            </w:tcBorders>
            <w:shd w:val="clear" w:color="auto" w:fill="auto"/>
            <w:vAlign w:val="center"/>
            <w:hideMark/>
          </w:tcPr>
          <w:p w14:paraId="4A2A0C66"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14.703</w:t>
            </w:r>
          </w:p>
        </w:tc>
        <w:tc>
          <w:tcPr>
            <w:tcW w:w="916" w:type="pct"/>
            <w:tcBorders>
              <w:top w:val="nil"/>
              <w:left w:val="nil"/>
              <w:bottom w:val="single" w:sz="8" w:space="0" w:color="85BDE2"/>
              <w:right w:val="single" w:sz="8" w:space="0" w:color="85BDE2"/>
            </w:tcBorders>
            <w:shd w:val="clear" w:color="auto" w:fill="auto"/>
            <w:noWrap/>
            <w:vAlign w:val="center"/>
            <w:hideMark/>
          </w:tcPr>
          <w:p w14:paraId="4A2A753A"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53</w:t>
            </w:r>
          </w:p>
        </w:tc>
      </w:tr>
      <w:tr w:rsidR="00E63484" w:rsidRPr="00E63484" w14:paraId="592F1E1C"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0540E3C8"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13</w:t>
            </w:r>
          </w:p>
        </w:tc>
        <w:tc>
          <w:tcPr>
            <w:tcW w:w="1152" w:type="pct"/>
            <w:tcBorders>
              <w:top w:val="nil"/>
              <w:left w:val="nil"/>
              <w:bottom w:val="single" w:sz="8" w:space="0" w:color="85BDE2"/>
              <w:right w:val="single" w:sz="8" w:space="0" w:color="85BDE2"/>
            </w:tcBorders>
            <w:shd w:val="clear" w:color="000000" w:fill="D6E9F5"/>
            <w:vAlign w:val="center"/>
            <w:hideMark/>
          </w:tcPr>
          <w:p w14:paraId="256F33EB"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000000" w:fill="D6E9F5"/>
            <w:vAlign w:val="center"/>
            <w:hideMark/>
          </w:tcPr>
          <w:p w14:paraId="3627840E"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UC Taro e Ceno</w:t>
            </w:r>
          </w:p>
        </w:tc>
        <w:tc>
          <w:tcPr>
            <w:tcW w:w="845" w:type="pct"/>
            <w:tcBorders>
              <w:top w:val="nil"/>
              <w:left w:val="nil"/>
              <w:bottom w:val="single" w:sz="8" w:space="0" w:color="85BDE2"/>
              <w:right w:val="single" w:sz="8" w:space="0" w:color="85BDE2"/>
            </w:tcBorders>
            <w:shd w:val="clear" w:color="000000" w:fill="D6E9F5"/>
            <w:vAlign w:val="center"/>
            <w:hideMark/>
          </w:tcPr>
          <w:p w14:paraId="2501E414"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14.388</w:t>
            </w:r>
          </w:p>
        </w:tc>
        <w:tc>
          <w:tcPr>
            <w:tcW w:w="916" w:type="pct"/>
            <w:tcBorders>
              <w:top w:val="nil"/>
              <w:left w:val="nil"/>
              <w:bottom w:val="single" w:sz="8" w:space="0" w:color="85BDE2"/>
              <w:right w:val="single" w:sz="8" w:space="0" w:color="85BDE2"/>
            </w:tcBorders>
            <w:shd w:val="clear" w:color="000000" w:fill="D6E9F5"/>
            <w:noWrap/>
            <w:vAlign w:val="center"/>
            <w:hideMark/>
          </w:tcPr>
          <w:p w14:paraId="5497A8AF"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35</w:t>
            </w:r>
          </w:p>
        </w:tc>
      </w:tr>
      <w:tr w:rsidR="00E63484" w:rsidRPr="00E63484" w14:paraId="2FFC2B5D"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7FA2FE8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14</w:t>
            </w:r>
          </w:p>
        </w:tc>
        <w:tc>
          <w:tcPr>
            <w:tcW w:w="1152" w:type="pct"/>
            <w:tcBorders>
              <w:top w:val="nil"/>
              <w:left w:val="nil"/>
              <w:bottom w:val="single" w:sz="8" w:space="0" w:color="85BDE2"/>
              <w:right w:val="single" w:sz="8" w:space="0" w:color="85BDE2"/>
            </w:tcBorders>
            <w:shd w:val="clear" w:color="auto" w:fill="auto"/>
            <w:vAlign w:val="center"/>
            <w:hideMark/>
          </w:tcPr>
          <w:p w14:paraId="2B0B392A"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1831" w:type="pct"/>
            <w:tcBorders>
              <w:top w:val="nil"/>
              <w:left w:val="nil"/>
              <w:bottom w:val="single" w:sz="8" w:space="0" w:color="85BDE2"/>
              <w:right w:val="single" w:sz="8" w:space="0" w:color="85BDE2"/>
            </w:tcBorders>
            <w:shd w:val="clear" w:color="auto" w:fill="auto"/>
            <w:vAlign w:val="center"/>
            <w:hideMark/>
          </w:tcPr>
          <w:p w14:paraId="689CDC0B"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 Valdera</w:t>
            </w:r>
          </w:p>
        </w:tc>
        <w:tc>
          <w:tcPr>
            <w:tcW w:w="845" w:type="pct"/>
            <w:tcBorders>
              <w:top w:val="nil"/>
              <w:left w:val="nil"/>
              <w:bottom w:val="single" w:sz="8" w:space="0" w:color="85BDE2"/>
              <w:right w:val="single" w:sz="8" w:space="0" w:color="85BDE2"/>
            </w:tcBorders>
            <w:shd w:val="clear" w:color="auto" w:fill="auto"/>
            <w:vAlign w:val="center"/>
            <w:hideMark/>
          </w:tcPr>
          <w:p w14:paraId="64B27F64"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14.138</w:t>
            </w:r>
          </w:p>
        </w:tc>
        <w:tc>
          <w:tcPr>
            <w:tcW w:w="916" w:type="pct"/>
            <w:tcBorders>
              <w:top w:val="nil"/>
              <w:left w:val="nil"/>
              <w:bottom w:val="single" w:sz="8" w:space="0" w:color="85BDE2"/>
              <w:right w:val="single" w:sz="8" w:space="0" w:color="85BDE2"/>
            </w:tcBorders>
            <w:shd w:val="clear" w:color="auto" w:fill="auto"/>
            <w:noWrap/>
            <w:vAlign w:val="center"/>
            <w:hideMark/>
          </w:tcPr>
          <w:p w14:paraId="2ECE00A9"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57</w:t>
            </w:r>
          </w:p>
        </w:tc>
      </w:tr>
      <w:tr w:rsidR="00E63484" w:rsidRPr="00E63484" w14:paraId="0B596F40"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78184BB3"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15</w:t>
            </w:r>
          </w:p>
        </w:tc>
        <w:tc>
          <w:tcPr>
            <w:tcW w:w="1152" w:type="pct"/>
            <w:tcBorders>
              <w:top w:val="nil"/>
              <w:left w:val="nil"/>
              <w:bottom w:val="single" w:sz="8" w:space="0" w:color="85BDE2"/>
              <w:right w:val="single" w:sz="8" w:space="0" w:color="85BDE2"/>
            </w:tcBorders>
            <w:shd w:val="clear" w:color="000000" w:fill="D6E9F5"/>
            <w:vAlign w:val="center"/>
            <w:hideMark/>
          </w:tcPr>
          <w:p w14:paraId="571D05B7"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Piemonte</w:t>
            </w:r>
          </w:p>
        </w:tc>
        <w:tc>
          <w:tcPr>
            <w:tcW w:w="1831" w:type="pct"/>
            <w:tcBorders>
              <w:top w:val="nil"/>
              <w:left w:val="nil"/>
              <w:bottom w:val="single" w:sz="8" w:space="0" w:color="85BDE2"/>
              <w:right w:val="single" w:sz="8" w:space="0" w:color="85BDE2"/>
            </w:tcBorders>
            <w:shd w:val="clear" w:color="000000" w:fill="D6E9F5"/>
            <w:vAlign w:val="center"/>
            <w:hideMark/>
          </w:tcPr>
          <w:p w14:paraId="0F7128B5"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UM Valli Orco e Soana</w:t>
            </w:r>
          </w:p>
        </w:tc>
        <w:tc>
          <w:tcPr>
            <w:tcW w:w="845" w:type="pct"/>
            <w:tcBorders>
              <w:top w:val="nil"/>
              <w:left w:val="nil"/>
              <w:bottom w:val="single" w:sz="8" w:space="0" w:color="85BDE2"/>
              <w:right w:val="single" w:sz="8" w:space="0" w:color="85BDE2"/>
            </w:tcBorders>
            <w:shd w:val="clear" w:color="000000" w:fill="D6E9F5"/>
            <w:vAlign w:val="center"/>
            <w:hideMark/>
          </w:tcPr>
          <w:p w14:paraId="03335876"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13.948</w:t>
            </w:r>
          </w:p>
        </w:tc>
        <w:tc>
          <w:tcPr>
            <w:tcW w:w="916" w:type="pct"/>
            <w:tcBorders>
              <w:top w:val="nil"/>
              <w:left w:val="nil"/>
              <w:bottom w:val="single" w:sz="8" w:space="0" w:color="85BDE2"/>
              <w:right w:val="single" w:sz="8" w:space="0" w:color="85BDE2"/>
            </w:tcBorders>
            <w:shd w:val="clear" w:color="000000" w:fill="D6E9F5"/>
            <w:noWrap/>
            <w:vAlign w:val="center"/>
            <w:hideMark/>
          </w:tcPr>
          <w:p w14:paraId="63D55CE3"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41</w:t>
            </w:r>
          </w:p>
        </w:tc>
      </w:tr>
      <w:tr w:rsidR="00E63484" w:rsidRPr="00E63484" w14:paraId="0BD06825"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010D9B42"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16</w:t>
            </w:r>
          </w:p>
        </w:tc>
        <w:tc>
          <w:tcPr>
            <w:tcW w:w="1152" w:type="pct"/>
            <w:tcBorders>
              <w:top w:val="nil"/>
              <w:left w:val="nil"/>
              <w:bottom w:val="single" w:sz="8" w:space="0" w:color="85BDE2"/>
              <w:right w:val="single" w:sz="8" w:space="0" w:color="85BDE2"/>
            </w:tcBorders>
            <w:shd w:val="clear" w:color="auto" w:fill="auto"/>
            <w:vAlign w:val="center"/>
            <w:hideMark/>
          </w:tcPr>
          <w:p w14:paraId="0209DE84"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Veneto</w:t>
            </w:r>
          </w:p>
        </w:tc>
        <w:tc>
          <w:tcPr>
            <w:tcW w:w="1831" w:type="pct"/>
            <w:tcBorders>
              <w:top w:val="nil"/>
              <w:left w:val="nil"/>
              <w:bottom w:val="single" w:sz="8" w:space="0" w:color="85BDE2"/>
              <w:right w:val="single" w:sz="8" w:space="0" w:color="85BDE2"/>
            </w:tcBorders>
            <w:shd w:val="clear" w:color="auto" w:fill="auto"/>
            <w:vAlign w:val="center"/>
            <w:hideMark/>
          </w:tcPr>
          <w:p w14:paraId="4FAA0F86"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Marca Occidentale</w:t>
            </w:r>
          </w:p>
        </w:tc>
        <w:tc>
          <w:tcPr>
            <w:tcW w:w="845" w:type="pct"/>
            <w:tcBorders>
              <w:top w:val="nil"/>
              <w:left w:val="nil"/>
              <w:bottom w:val="single" w:sz="8" w:space="0" w:color="85BDE2"/>
              <w:right w:val="single" w:sz="8" w:space="0" w:color="85BDE2"/>
            </w:tcBorders>
            <w:shd w:val="clear" w:color="auto" w:fill="auto"/>
            <w:vAlign w:val="center"/>
            <w:hideMark/>
          </w:tcPr>
          <w:p w14:paraId="4A22550A"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13.920</w:t>
            </w:r>
          </w:p>
        </w:tc>
        <w:tc>
          <w:tcPr>
            <w:tcW w:w="916" w:type="pct"/>
            <w:tcBorders>
              <w:top w:val="nil"/>
              <w:left w:val="nil"/>
              <w:bottom w:val="single" w:sz="8" w:space="0" w:color="85BDE2"/>
              <w:right w:val="single" w:sz="8" w:space="0" w:color="85BDE2"/>
            </w:tcBorders>
            <w:shd w:val="clear" w:color="auto" w:fill="auto"/>
            <w:noWrap/>
            <w:vAlign w:val="center"/>
            <w:hideMark/>
          </w:tcPr>
          <w:p w14:paraId="22254B8F"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48</w:t>
            </w:r>
          </w:p>
        </w:tc>
      </w:tr>
      <w:tr w:rsidR="00E63484" w:rsidRPr="00E63484" w14:paraId="1B7F52CD"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553819F3"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17</w:t>
            </w:r>
          </w:p>
        </w:tc>
        <w:tc>
          <w:tcPr>
            <w:tcW w:w="1152" w:type="pct"/>
            <w:tcBorders>
              <w:top w:val="nil"/>
              <w:left w:val="nil"/>
              <w:bottom w:val="single" w:sz="8" w:space="0" w:color="85BDE2"/>
              <w:right w:val="single" w:sz="8" w:space="0" w:color="85BDE2"/>
            </w:tcBorders>
            <w:shd w:val="clear" w:color="000000" w:fill="D6E9F5"/>
            <w:vAlign w:val="center"/>
            <w:hideMark/>
          </w:tcPr>
          <w:p w14:paraId="64485631"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Toscana</w:t>
            </w:r>
          </w:p>
        </w:tc>
        <w:tc>
          <w:tcPr>
            <w:tcW w:w="1831" w:type="pct"/>
            <w:tcBorders>
              <w:top w:val="nil"/>
              <w:left w:val="nil"/>
              <w:bottom w:val="single" w:sz="8" w:space="0" w:color="85BDE2"/>
              <w:right w:val="single" w:sz="8" w:space="0" w:color="85BDE2"/>
            </w:tcBorders>
            <w:shd w:val="clear" w:color="000000" w:fill="D6E9F5"/>
            <w:vAlign w:val="center"/>
            <w:hideMark/>
          </w:tcPr>
          <w:p w14:paraId="461F8A9D"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UC Valdichiana senese</w:t>
            </w:r>
          </w:p>
        </w:tc>
        <w:tc>
          <w:tcPr>
            <w:tcW w:w="845" w:type="pct"/>
            <w:tcBorders>
              <w:top w:val="nil"/>
              <w:left w:val="nil"/>
              <w:bottom w:val="single" w:sz="8" w:space="0" w:color="85BDE2"/>
              <w:right w:val="single" w:sz="8" w:space="0" w:color="85BDE2"/>
            </w:tcBorders>
            <w:shd w:val="clear" w:color="000000" w:fill="D6E9F5"/>
            <w:vAlign w:val="center"/>
            <w:hideMark/>
          </w:tcPr>
          <w:p w14:paraId="431589B1"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13.862</w:t>
            </w:r>
          </w:p>
        </w:tc>
        <w:tc>
          <w:tcPr>
            <w:tcW w:w="916" w:type="pct"/>
            <w:tcBorders>
              <w:top w:val="nil"/>
              <w:left w:val="nil"/>
              <w:bottom w:val="single" w:sz="8" w:space="0" w:color="85BDE2"/>
              <w:right w:val="single" w:sz="8" w:space="0" w:color="85BDE2"/>
            </w:tcBorders>
            <w:shd w:val="clear" w:color="000000" w:fill="D6E9F5"/>
            <w:noWrap/>
            <w:vAlign w:val="center"/>
            <w:hideMark/>
          </w:tcPr>
          <w:p w14:paraId="2C503148"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33</w:t>
            </w:r>
          </w:p>
        </w:tc>
      </w:tr>
      <w:tr w:rsidR="00E63484" w:rsidRPr="00E63484" w14:paraId="147D6363"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7E984C6C"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18</w:t>
            </w:r>
          </w:p>
        </w:tc>
        <w:tc>
          <w:tcPr>
            <w:tcW w:w="1152" w:type="pct"/>
            <w:tcBorders>
              <w:top w:val="nil"/>
              <w:left w:val="nil"/>
              <w:bottom w:val="single" w:sz="8" w:space="0" w:color="85BDE2"/>
              <w:right w:val="single" w:sz="8" w:space="0" w:color="85BDE2"/>
            </w:tcBorders>
            <w:shd w:val="clear" w:color="auto" w:fill="auto"/>
            <w:vAlign w:val="center"/>
            <w:hideMark/>
          </w:tcPr>
          <w:p w14:paraId="33B8D627"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Piemonte</w:t>
            </w:r>
          </w:p>
        </w:tc>
        <w:tc>
          <w:tcPr>
            <w:tcW w:w="1831" w:type="pct"/>
            <w:tcBorders>
              <w:top w:val="nil"/>
              <w:left w:val="nil"/>
              <w:bottom w:val="single" w:sz="8" w:space="0" w:color="85BDE2"/>
              <w:right w:val="single" w:sz="8" w:space="0" w:color="85BDE2"/>
            </w:tcBorders>
            <w:shd w:val="clear" w:color="auto" w:fill="auto"/>
            <w:vAlign w:val="center"/>
            <w:hideMark/>
          </w:tcPr>
          <w:p w14:paraId="54FC6704"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 Fossanese</w:t>
            </w:r>
          </w:p>
        </w:tc>
        <w:tc>
          <w:tcPr>
            <w:tcW w:w="845" w:type="pct"/>
            <w:tcBorders>
              <w:top w:val="nil"/>
              <w:left w:val="nil"/>
              <w:bottom w:val="single" w:sz="8" w:space="0" w:color="85BDE2"/>
              <w:right w:val="single" w:sz="8" w:space="0" w:color="85BDE2"/>
            </w:tcBorders>
            <w:shd w:val="clear" w:color="auto" w:fill="auto"/>
            <w:vAlign w:val="center"/>
            <w:hideMark/>
          </w:tcPr>
          <w:p w14:paraId="7208DDEA"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13.736</w:t>
            </w:r>
          </w:p>
        </w:tc>
        <w:tc>
          <w:tcPr>
            <w:tcW w:w="916" w:type="pct"/>
            <w:tcBorders>
              <w:top w:val="nil"/>
              <w:left w:val="nil"/>
              <w:bottom w:val="single" w:sz="8" w:space="0" w:color="85BDE2"/>
              <w:right w:val="single" w:sz="8" w:space="0" w:color="85BDE2"/>
            </w:tcBorders>
            <w:shd w:val="clear" w:color="auto" w:fill="auto"/>
            <w:noWrap/>
            <w:vAlign w:val="center"/>
            <w:hideMark/>
          </w:tcPr>
          <w:p w14:paraId="59365590"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44</w:t>
            </w:r>
          </w:p>
        </w:tc>
      </w:tr>
      <w:tr w:rsidR="00E63484" w:rsidRPr="00E63484" w14:paraId="7F851CC1"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295A79EC"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19</w:t>
            </w:r>
          </w:p>
        </w:tc>
        <w:tc>
          <w:tcPr>
            <w:tcW w:w="1152" w:type="pct"/>
            <w:tcBorders>
              <w:top w:val="nil"/>
              <w:left w:val="nil"/>
              <w:bottom w:val="single" w:sz="8" w:space="0" w:color="85BDE2"/>
              <w:right w:val="single" w:sz="8" w:space="0" w:color="85BDE2"/>
            </w:tcBorders>
            <w:shd w:val="clear" w:color="000000" w:fill="D6E9F5"/>
            <w:vAlign w:val="center"/>
            <w:hideMark/>
          </w:tcPr>
          <w:p w14:paraId="0F042BFA"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Marche</w:t>
            </w:r>
          </w:p>
        </w:tc>
        <w:tc>
          <w:tcPr>
            <w:tcW w:w="1831" w:type="pct"/>
            <w:tcBorders>
              <w:top w:val="nil"/>
              <w:left w:val="nil"/>
              <w:bottom w:val="single" w:sz="8" w:space="0" w:color="85BDE2"/>
              <w:right w:val="single" w:sz="8" w:space="0" w:color="85BDE2"/>
            </w:tcBorders>
            <w:shd w:val="clear" w:color="000000" w:fill="D6E9F5"/>
            <w:vAlign w:val="center"/>
            <w:hideMark/>
          </w:tcPr>
          <w:p w14:paraId="2E17D61C"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UM Potenza Esino Musone</w:t>
            </w:r>
          </w:p>
        </w:tc>
        <w:tc>
          <w:tcPr>
            <w:tcW w:w="845" w:type="pct"/>
            <w:tcBorders>
              <w:top w:val="nil"/>
              <w:left w:val="nil"/>
              <w:bottom w:val="single" w:sz="8" w:space="0" w:color="85BDE2"/>
              <w:right w:val="single" w:sz="8" w:space="0" w:color="85BDE2"/>
            </w:tcBorders>
            <w:shd w:val="clear" w:color="000000" w:fill="D6E9F5"/>
            <w:vAlign w:val="center"/>
            <w:hideMark/>
          </w:tcPr>
          <w:p w14:paraId="637DC42A"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13.473</w:t>
            </w:r>
          </w:p>
        </w:tc>
        <w:tc>
          <w:tcPr>
            <w:tcW w:w="916" w:type="pct"/>
            <w:tcBorders>
              <w:top w:val="nil"/>
              <w:left w:val="nil"/>
              <w:bottom w:val="single" w:sz="8" w:space="0" w:color="85BDE2"/>
              <w:right w:val="single" w:sz="8" w:space="0" w:color="85BDE2"/>
            </w:tcBorders>
            <w:shd w:val="clear" w:color="000000" w:fill="D6E9F5"/>
            <w:noWrap/>
            <w:vAlign w:val="center"/>
            <w:hideMark/>
          </w:tcPr>
          <w:p w14:paraId="6ADB70D9"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53</w:t>
            </w:r>
          </w:p>
        </w:tc>
      </w:tr>
      <w:tr w:rsidR="00E63484" w:rsidRPr="00E63484" w14:paraId="79EA4222"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30AD15EB"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20</w:t>
            </w:r>
          </w:p>
        </w:tc>
        <w:tc>
          <w:tcPr>
            <w:tcW w:w="1152" w:type="pct"/>
            <w:tcBorders>
              <w:top w:val="nil"/>
              <w:left w:val="nil"/>
              <w:bottom w:val="single" w:sz="8" w:space="0" w:color="85BDE2"/>
              <w:right w:val="single" w:sz="8" w:space="0" w:color="85BDE2"/>
            </w:tcBorders>
            <w:shd w:val="clear" w:color="auto" w:fill="auto"/>
            <w:vAlign w:val="center"/>
            <w:hideMark/>
          </w:tcPr>
          <w:p w14:paraId="7B2EB14F"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Toscana</w:t>
            </w:r>
          </w:p>
        </w:tc>
        <w:tc>
          <w:tcPr>
            <w:tcW w:w="1831" w:type="pct"/>
            <w:tcBorders>
              <w:top w:val="nil"/>
              <w:left w:val="nil"/>
              <w:bottom w:val="single" w:sz="8" w:space="0" w:color="85BDE2"/>
              <w:right w:val="single" w:sz="8" w:space="0" w:color="85BDE2"/>
            </w:tcBorders>
            <w:shd w:val="clear" w:color="auto" w:fill="auto"/>
            <w:vAlign w:val="center"/>
            <w:hideMark/>
          </w:tcPr>
          <w:p w14:paraId="495514D7"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Montani Appennino Pistoiese</w:t>
            </w:r>
          </w:p>
        </w:tc>
        <w:tc>
          <w:tcPr>
            <w:tcW w:w="845" w:type="pct"/>
            <w:tcBorders>
              <w:top w:val="nil"/>
              <w:left w:val="nil"/>
              <w:bottom w:val="single" w:sz="8" w:space="0" w:color="85BDE2"/>
              <w:right w:val="single" w:sz="8" w:space="0" w:color="85BDE2"/>
            </w:tcBorders>
            <w:shd w:val="clear" w:color="auto" w:fill="auto"/>
            <w:vAlign w:val="center"/>
            <w:hideMark/>
          </w:tcPr>
          <w:p w14:paraId="600D60BC"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13.430</w:t>
            </w:r>
          </w:p>
        </w:tc>
        <w:tc>
          <w:tcPr>
            <w:tcW w:w="916" w:type="pct"/>
            <w:tcBorders>
              <w:top w:val="nil"/>
              <w:left w:val="nil"/>
              <w:bottom w:val="single" w:sz="8" w:space="0" w:color="85BDE2"/>
              <w:right w:val="single" w:sz="8" w:space="0" w:color="85BDE2"/>
            </w:tcBorders>
            <w:shd w:val="clear" w:color="auto" w:fill="auto"/>
            <w:noWrap/>
            <w:vAlign w:val="center"/>
            <w:hideMark/>
          </w:tcPr>
          <w:p w14:paraId="7C44E3F6"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43</w:t>
            </w:r>
          </w:p>
        </w:tc>
      </w:tr>
      <w:tr w:rsidR="00E63484" w:rsidRPr="00E63484" w14:paraId="495C5EC8"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2AF8169A"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21</w:t>
            </w:r>
          </w:p>
        </w:tc>
        <w:tc>
          <w:tcPr>
            <w:tcW w:w="1152" w:type="pct"/>
            <w:tcBorders>
              <w:top w:val="nil"/>
              <w:left w:val="nil"/>
              <w:bottom w:val="single" w:sz="8" w:space="0" w:color="85BDE2"/>
              <w:right w:val="single" w:sz="8" w:space="0" w:color="85BDE2"/>
            </w:tcBorders>
            <w:shd w:val="clear" w:color="000000" w:fill="D6E9F5"/>
            <w:vAlign w:val="center"/>
            <w:hideMark/>
          </w:tcPr>
          <w:p w14:paraId="0A87DC5A"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Toscana</w:t>
            </w:r>
          </w:p>
        </w:tc>
        <w:tc>
          <w:tcPr>
            <w:tcW w:w="1831" w:type="pct"/>
            <w:tcBorders>
              <w:top w:val="nil"/>
              <w:left w:val="nil"/>
              <w:bottom w:val="single" w:sz="8" w:space="0" w:color="85BDE2"/>
              <w:right w:val="single" w:sz="8" w:space="0" w:color="85BDE2"/>
            </w:tcBorders>
            <w:shd w:val="clear" w:color="000000" w:fill="D6E9F5"/>
            <w:vAlign w:val="center"/>
            <w:hideMark/>
          </w:tcPr>
          <w:p w14:paraId="191D2A56"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UC Garfagnana</w:t>
            </w:r>
          </w:p>
        </w:tc>
        <w:tc>
          <w:tcPr>
            <w:tcW w:w="845" w:type="pct"/>
            <w:tcBorders>
              <w:top w:val="nil"/>
              <w:left w:val="nil"/>
              <w:bottom w:val="single" w:sz="8" w:space="0" w:color="85BDE2"/>
              <w:right w:val="single" w:sz="8" w:space="0" w:color="85BDE2"/>
            </w:tcBorders>
            <w:shd w:val="clear" w:color="000000" w:fill="D6E9F5"/>
            <w:vAlign w:val="center"/>
            <w:hideMark/>
          </w:tcPr>
          <w:p w14:paraId="0EEDDD38"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13.386</w:t>
            </w:r>
          </w:p>
        </w:tc>
        <w:tc>
          <w:tcPr>
            <w:tcW w:w="916" w:type="pct"/>
            <w:tcBorders>
              <w:top w:val="nil"/>
              <w:left w:val="nil"/>
              <w:bottom w:val="single" w:sz="8" w:space="0" w:color="85BDE2"/>
              <w:right w:val="single" w:sz="8" w:space="0" w:color="85BDE2"/>
            </w:tcBorders>
            <w:shd w:val="clear" w:color="000000" w:fill="D6E9F5"/>
            <w:noWrap/>
            <w:vAlign w:val="center"/>
            <w:hideMark/>
          </w:tcPr>
          <w:p w14:paraId="564C54C1"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60</w:t>
            </w:r>
          </w:p>
        </w:tc>
      </w:tr>
      <w:tr w:rsidR="00E63484" w:rsidRPr="00E63484" w14:paraId="59857C4A"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77AD035B"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22</w:t>
            </w:r>
          </w:p>
        </w:tc>
        <w:tc>
          <w:tcPr>
            <w:tcW w:w="1152" w:type="pct"/>
            <w:tcBorders>
              <w:top w:val="nil"/>
              <w:left w:val="nil"/>
              <w:bottom w:val="single" w:sz="8" w:space="0" w:color="85BDE2"/>
              <w:right w:val="single" w:sz="8" w:space="0" w:color="85BDE2"/>
            </w:tcBorders>
            <w:shd w:val="clear" w:color="auto" w:fill="auto"/>
            <w:vAlign w:val="center"/>
            <w:hideMark/>
          </w:tcPr>
          <w:p w14:paraId="4366BF0E"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Emilia-Romagna</w:t>
            </w:r>
          </w:p>
        </w:tc>
        <w:tc>
          <w:tcPr>
            <w:tcW w:w="1831" w:type="pct"/>
            <w:tcBorders>
              <w:top w:val="nil"/>
              <w:left w:val="nil"/>
              <w:bottom w:val="single" w:sz="8" w:space="0" w:color="85BDE2"/>
              <w:right w:val="single" w:sz="8" w:space="0" w:color="85BDE2"/>
            </w:tcBorders>
            <w:shd w:val="clear" w:color="auto" w:fill="auto"/>
            <w:vAlign w:val="center"/>
            <w:hideMark/>
          </w:tcPr>
          <w:p w14:paraId="57BC65CF"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Valmarecchia</w:t>
            </w:r>
          </w:p>
        </w:tc>
        <w:tc>
          <w:tcPr>
            <w:tcW w:w="845" w:type="pct"/>
            <w:tcBorders>
              <w:top w:val="nil"/>
              <w:left w:val="nil"/>
              <w:bottom w:val="single" w:sz="8" w:space="0" w:color="85BDE2"/>
              <w:right w:val="single" w:sz="8" w:space="0" w:color="85BDE2"/>
            </w:tcBorders>
            <w:shd w:val="clear" w:color="auto" w:fill="auto"/>
            <w:vAlign w:val="center"/>
            <w:hideMark/>
          </w:tcPr>
          <w:p w14:paraId="719A9B5A"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13.338</w:t>
            </w:r>
          </w:p>
        </w:tc>
        <w:tc>
          <w:tcPr>
            <w:tcW w:w="916" w:type="pct"/>
            <w:tcBorders>
              <w:top w:val="nil"/>
              <w:left w:val="nil"/>
              <w:bottom w:val="single" w:sz="8" w:space="0" w:color="85BDE2"/>
              <w:right w:val="single" w:sz="8" w:space="0" w:color="85BDE2"/>
            </w:tcBorders>
            <w:shd w:val="clear" w:color="auto" w:fill="auto"/>
            <w:noWrap/>
            <w:vAlign w:val="center"/>
            <w:hideMark/>
          </w:tcPr>
          <w:p w14:paraId="5346ADC7"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55</w:t>
            </w:r>
          </w:p>
        </w:tc>
      </w:tr>
      <w:tr w:rsidR="00E63484" w:rsidRPr="00E63484" w14:paraId="706E668A"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70FE0A48"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23</w:t>
            </w:r>
          </w:p>
        </w:tc>
        <w:tc>
          <w:tcPr>
            <w:tcW w:w="1152" w:type="pct"/>
            <w:tcBorders>
              <w:top w:val="nil"/>
              <w:left w:val="nil"/>
              <w:bottom w:val="single" w:sz="8" w:space="0" w:color="85BDE2"/>
              <w:right w:val="single" w:sz="8" w:space="0" w:color="85BDE2"/>
            </w:tcBorders>
            <w:shd w:val="clear" w:color="000000" w:fill="D6E9F5"/>
            <w:vAlign w:val="center"/>
            <w:hideMark/>
          </w:tcPr>
          <w:p w14:paraId="5CDD5F78"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Marche</w:t>
            </w:r>
          </w:p>
        </w:tc>
        <w:tc>
          <w:tcPr>
            <w:tcW w:w="1831" w:type="pct"/>
            <w:tcBorders>
              <w:top w:val="nil"/>
              <w:left w:val="nil"/>
              <w:bottom w:val="single" w:sz="8" w:space="0" w:color="85BDE2"/>
              <w:right w:val="single" w:sz="8" w:space="0" w:color="85BDE2"/>
            </w:tcBorders>
            <w:shd w:val="clear" w:color="000000" w:fill="D6E9F5"/>
            <w:vAlign w:val="center"/>
            <w:hideMark/>
          </w:tcPr>
          <w:p w14:paraId="33A46D6A"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 xml:space="preserve">Comune Terre </w:t>
            </w:r>
            <w:proofErr w:type="spellStart"/>
            <w:r w:rsidRPr="00E63484">
              <w:rPr>
                <w:rFonts w:ascii="Avenir Next LT Pro" w:eastAsia="Times New Roman" w:hAnsi="Avenir Next LT Pro" w:cs="Calibri"/>
                <w:lang w:eastAsia="it-IT"/>
              </w:rPr>
              <w:t>Roveresche</w:t>
            </w:r>
            <w:proofErr w:type="spellEnd"/>
          </w:p>
        </w:tc>
        <w:tc>
          <w:tcPr>
            <w:tcW w:w="845" w:type="pct"/>
            <w:tcBorders>
              <w:top w:val="nil"/>
              <w:left w:val="nil"/>
              <w:bottom w:val="single" w:sz="8" w:space="0" w:color="85BDE2"/>
              <w:right w:val="single" w:sz="8" w:space="0" w:color="85BDE2"/>
            </w:tcBorders>
            <w:shd w:val="clear" w:color="000000" w:fill="D6E9F5"/>
            <w:vAlign w:val="center"/>
            <w:hideMark/>
          </w:tcPr>
          <w:p w14:paraId="460647C9"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12.688</w:t>
            </w:r>
          </w:p>
        </w:tc>
        <w:tc>
          <w:tcPr>
            <w:tcW w:w="916" w:type="pct"/>
            <w:tcBorders>
              <w:top w:val="nil"/>
              <w:left w:val="nil"/>
              <w:bottom w:val="single" w:sz="8" w:space="0" w:color="85BDE2"/>
              <w:right w:val="single" w:sz="8" w:space="0" w:color="85BDE2"/>
            </w:tcBorders>
            <w:shd w:val="clear" w:color="000000" w:fill="D6E9F5"/>
            <w:noWrap/>
            <w:vAlign w:val="center"/>
            <w:hideMark/>
          </w:tcPr>
          <w:p w14:paraId="79FCC069"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51</w:t>
            </w:r>
          </w:p>
        </w:tc>
      </w:tr>
      <w:tr w:rsidR="00E63484" w:rsidRPr="00E63484" w14:paraId="0FECE75D"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5660B9A3"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24</w:t>
            </w:r>
          </w:p>
        </w:tc>
        <w:tc>
          <w:tcPr>
            <w:tcW w:w="1152" w:type="pct"/>
            <w:tcBorders>
              <w:top w:val="nil"/>
              <w:left w:val="nil"/>
              <w:bottom w:val="single" w:sz="8" w:space="0" w:color="85BDE2"/>
              <w:right w:val="single" w:sz="8" w:space="0" w:color="85BDE2"/>
            </w:tcBorders>
            <w:shd w:val="clear" w:color="auto" w:fill="auto"/>
            <w:vAlign w:val="center"/>
            <w:hideMark/>
          </w:tcPr>
          <w:p w14:paraId="57BE85A5"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Abruzzo</w:t>
            </w:r>
          </w:p>
        </w:tc>
        <w:tc>
          <w:tcPr>
            <w:tcW w:w="1831" w:type="pct"/>
            <w:tcBorders>
              <w:top w:val="nil"/>
              <w:left w:val="nil"/>
              <w:bottom w:val="single" w:sz="8" w:space="0" w:color="85BDE2"/>
              <w:right w:val="single" w:sz="8" w:space="0" w:color="85BDE2"/>
            </w:tcBorders>
            <w:shd w:val="clear" w:color="auto" w:fill="auto"/>
            <w:vAlign w:val="center"/>
            <w:hideMark/>
          </w:tcPr>
          <w:p w14:paraId="4319E634"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UC Val Vibrata</w:t>
            </w:r>
          </w:p>
        </w:tc>
        <w:tc>
          <w:tcPr>
            <w:tcW w:w="845" w:type="pct"/>
            <w:tcBorders>
              <w:top w:val="nil"/>
              <w:left w:val="nil"/>
              <w:bottom w:val="single" w:sz="8" w:space="0" w:color="85BDE2"/>
              <w:right w:val="single" w:sz="8" w:space="0" w:color="85BDE2"/>
            </w:tcBorders>
            <w:shd w:val="clear" w:color="auto" w:fill="auto"/>
            <w:vAlign w:val="center"/>
            <w:hideMark/>
          </w:tcPr>
          <w:p w14:paraId="53A13BDF"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11.293</w:t>
            </w:r>
          </w:p>
        </w:tc>
        <w:tc>
          <w:tcPr>
            <w:tcW w:w="916" w:type="pct"/>
            <w:tcBorders>
              <w:top w:val="nil"/>
              <w:left w:val="nil"/>
              <w:bottom w:val="single" w:sz="8" w:space="0" w:color="85BDE2"/>
              <w:right w:val="single" w:sz="8" w:space="0" w:color="85BDE2"/>
            </w:tcBorders>
            <w:shd w:val="clear" w:color="auto" w:fill="auto"/>
            <w:noWrap/>
            <w:vAlign w:val="center"/>
            <w:hideMark/>
          </w:tcPr>
          <w:p w14:paraId="6B82B1D3"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38</w:t>
            </w:r>
          </w:p>
        </w:tc>
      </w:tr>
      <w:tr w:rsidR="00E63484" w:rsidRPr="00E63484" w14:paraId="35E83A46"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0E748A11"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25</w:t>
            </w:r>
          </w:p>
        </w:tc>
        <w:tc>
          <w:tcPr>
            <w:tcW w:w="1152" w:type="pct"/>
            <w:tcBorders>
              <w:top w:val="nil"/>
              <w:left w:val="nil"/>
              <w:bottom w:val="single" w:sz="8" w:space="0" w:color="85BDE2"/>
              <w:right w:val="single" w:sz="8" w:space="0" w:color="85BDE2"/>
            </w:tcBorders>
            <w:shd w:val="clear" w:color="000000" w:fill="D6E9F5"/>
            <w:vAlign w:val="center"/>
            <w:hideMark/>
          </w:tcPr>
          <w:p w14:paraId="27E17941"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Sicilia</w:t>
            </w:r>
          </w:p>
        </w:tc>
        <w:tc>
          <w:tcPr>
            <w:tcW w:w="1831" w:type="pct"/>
            <w:tcBorders>
              <w:top w:val="nil"/>
              <w:left w:val="nil"/>
              <w:bottom w:val="single" w:sz="8" w:space="0" w:color="85BDE2"/>
              <w:right w:val="single" w:sz="8" w:space="0" w:color="85BDE2"/>
            </w:tcBorders>
            <w:shd w:val="clear" w:color="000000" w:fill="D6E9F5"/>
            <w:vAlign w:val="center"/>
            <w:hideMark/>
          </w:tcPr>
          <w:p w14:paraId="0FF58C9B"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UC Valle del Belice</w:t>
            </w:r>
          </w:p>
        </w:tc>
        <w:tc>
          <w:tcPr>
            <w:tcW w:w="845" w:type="pct"/>
            <w:tcBorders>
              <w:top w:val="nil"/>
              <w:left w:val="nil"/>
              <w:bottom w:val="single" w:sz="8" w:space="0" w:color="85BDE2"/>
              <w:right w:val="single" w:sz="8" w:space="0" w:color="85BDE2"/>
            </w:tcBorders>
            <w:shd w:val="clear" w:color="000000" w:fill="D6E9F5"/>
            <w:vAlign w:val="center"/>
            <w:hideMark/>
          </w:tcPr>
          <w:p w14:paraId="5A1FCF8D"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9.332</w:t>
            </w:r>
          </w:p>
        </w:tc>
        <w:tc>
          <w:tcPr>
            <w:tcW w:w="916" w:type="pct"/>
            <w:tcBorders>
              <w:top w:val="nil"/>
              <w:left w:val="nil"/>
              <w:bottom w:val="single" w:sz="8" w:space="0" w:color="85BDE2"/>
              <w:right w:val="single" w:sz="8" w:space="0" w:color="85BDE2"/>
            </w:tcBorders>
            <w:shd w:val="clear" w:color="000000" w:fill="D6E9F5"/>
            <w:noWrap/>
            <w:vAlign w:val="center"/>
            <w:hideMark/>
          </w:tcPr>
          <w:p w14:paraId="116A4BBD"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10</w:t>
            </w:r>
          </w:p>
        </w:tc>
      </w:tr>
      <w:tr w:rsidR="00E63484" w:rsidRPr="00E63484" w14:paraId="2E62CC29"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29105424"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26</w:t>
            </w:r>
          </w:p>
        </w:tc>
        <w:tc>
          <w:tcPr>
            <w:tcW w:w="1152" w:type="pct"/>
            <w:tcBorders>
              <w:top w:val="nil"/>
              <w:left w:val="nil"/>
              <w:bottom w:val="single" w:sz="8" w:space="0" w:color="85BDE2"/>
              <w:right w:val="single" w:sz="8" w:space="0" w:color="85BDE2"/>
            </w:tcBorders>
            <w:shd w:val="clear" w:color="auto" w:fill="auto"/>
            <w:vAlign w:val="center"/>
            <w:hideMark/>
          </w:tcPr>
          <w:p w14:paraId="7278B235"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Campania</w:t>
            </w:r>
          </w:p>
        </w:tc>
        <w:tc>
          <w:tcPr>
            <w:tcW w:w="1831" w:type="pct"/>
            <w:tcBorders>
              <w:top w:val="nil"/>
              <w:left w:val="nil"/>
              <w:bottom w:val="single" w:sz="8" w:space="0" w:color="85BDE2"/>
              <w:right w:val="single" w:sz="8" w:space="0" w:color="85BDE2"/>
            </w:tcBorders>
            <w:shd w:val="clear" w:color="auto" w:fill="auto"/>
            <w:vAlign w:val="center"/>
            <w:hideMark/>
          </w:tcPr>
          <w:p w14:paraId="1B597FE3"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U Terre dell’</w:t>
            </w:r>
            <w:proofErr w:type="spellStart"/>
            <w:r w:rsidRPr="00E63484">
              <w:rPr>
                <w:rFonts w:ascii="Avenir Next LT Pro" w:eastAsia="Times New Roman" w:hAnsi="Avenir Next LT Pro" w:cs="Calibri"/>
                <w:lang w:eastAsia="it-IT"/>
              </w:rPr>
              <w:t>Ufita</w:t>
            </w:r>
            <w:proofErr w:type="spellEnd"/>
          </w:p>
        </w:tc>
        <w:tc>
          <w:tcPr>
            <w:tcW w:w="845" w:type="pct"/>
            <w:tcBorders>
              <w:top w:val="nil"/>
              <w:left w:val="nil"/>
              <w:bottom w:val="single" w:sz="8" w:space="0" w:color="85BDE2"/>
              <w:right w:val="single" w:sz="8" w:space="0" w:color="85BDE2"/>
            </w:tcBorders>
            <w:shd w:val="clear" w:color="auto" w:fill="auto"/>
            <w:vAlign w:val="center"/>
            <w:hideMark/>
          </w:tcPr>
          <w:p w14:paraId="538BD8D7"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9.223</w:t>
            </w:r>
          </w:p>
        </w:tc>
        <w:tc>
          <w:tcPr>
            <w:tcW w:w="916" w:type="pct"/>
            <w:tcBorders>
              <w:top w:val="nil"/>
              <w:left w:val="nil"/>
              <w:bottom w:val="single" w:sz="8" w:space="0" w:color="85BDE2"/>
              <w:right w:val="single" w:sz="8" w:space="0" w:color="85BDE2"/>
            </w:tcBorders>
            <w:shd w:val="clear" w:color="auto" w:fill="auto"/>
            <w:noWrap/>
            <w:vAlign w:val="center"/>
            <w:hideMark/>
          </w:tcPr>
          <w:p w14:paraId="370AA4D8"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20</w:t>
            </w:r>
          </w:p>
        </w:tc>
      </w:tr>
      <w:tr w:rsidR="00E63484" w:rsidRPr="00E63484" w14:paraId="1C5ABA0A"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1F3F04A2"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27</w:t>
            </w:r>
          </w:p>
        </w:tc>
        <w:tc>
          <w:tcPr>
            <w:tcW w:w="1152" w:type="pct"/>
            <w:tcBorders>
              <w:top w:val="nil"/>
              <w:left w:val="nil"/>
              <w:bottom w:val="single" w:sz="8" w:space="0" w:color="85BDE2"/>
              <w:right w:val="single" w:sz="8" w:space="0" w:color="85BDE2"/>
            </w:tcBorders>
            <w:shd w:val="clear" w:color="000000" w:fill="D6E9F5"/>
            <w:vAlign w:val="center"/>
            <w:hideMark/>
          </w:tcPr>
          <w:p w14:paraId="4FA1761F"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Sicilia</w:t>
            </w:r>
          </w:p>
        </w:tc>
        <w:tc>
          <w:tcPr>
            <w:tcW w:w="1831" w:type="pct"/>
            <w:tcBorders>
              <w:top w:val="nil"/>
              <w:left w:val="nil"/>
              <w:bottom w:val="single" w:sz="8" w:space="0" w:color="85BDE2"/>
              <w:right w:val="single" w:sz="8" w:space="0" w:color="85BDE2"/>
            </w:tcBorders>
            <w:shd w:val="clear" w:color="000000" w:fill="D6E9F5"/>
            <w:vAlign w:val="center"/>
            <w:hideMark/>
          </w:tcPr>
          <w:p w14:paraId="003D50BE"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U Madonie</w:t>
            </w:r>
          </w:p>
        </w:tc>
        <w:tc>
          <w:tcPr>
            <w:tcW w:w="845" w:type="pct"/>
            <w:tcBorders>
              <w:top w:val="nil"/>
              <w:left w:val="nil"/>
              <w:bottom w:val="single" w:sz="8" w:space="0" w:color="85BDE2"/>
              <w:right w:val="single" w:sz="8" w:space="0" w:color="85BDE2"/>
            </w:tcBorders>
            <w:shd w:val="clear" w:color="000000" w:fill="D6E9F5"/>
            <w:vAlign w:val="center"/>
            <w:hideMark/>
          </w:tcPr>
          <w:p w14:paraId="4B4F357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9.046</w:t>
            </w:r>
          </w:p>
        </w:tc>
        <w:tc>
          <w:tcPr>
            <w:tcW w:w="916" w:type="pct"/>
            <w:tcBorders>
              <w:top w:val="nil"/>
              <w:left w:val="nil"/>
              <w:bottom w:val="single" w:sz="8" w:space="0" w:color="85BDE2"/>
              <w:right w:val="single" w:sz="8" w:space="0" w:color="85BDE2"/>
            </w:tcBorders>
            <w:shd w:val="clear" w:color="000000" w:fill="D6E9F5"/>
            <w:noWrap/>
            <w:vAlign w:val="center"/>
            <w:hideMark/>
          </w:tcPr>
          <w:p w14:paraId="38C2985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lang w:eastAsia="it-IT"/>
              </w:rPr>
              <w:t>10</w:t>
            </w:r>
          </w:p>
        </w:tc>
      </w:tr>
      <w:tr w:rsidR="00E63484" w:rsidRPr="00E63484" w14:paraId="0BDF8D96"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auto" w:fill="auto"/>
            <w:noWrap/>
            <w:vAlign w:val="center"/>
            <w:hideMark/>
          </w:tcPr>
          <w:p w14:paraId="5F9FDE35"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28</w:t>
            </w:r>
          </w:p>
        </w:tc>
        <w:tc>
          <w:tcPr>
            <w:tcW w:w="1152" w:type="pct"/>
            <w:tcBorders>
              <w:top w:val="nil"/>
              <w:left w:val="nil"/>
              <w:bottom w:val="single" w:sz="8" w:space="0" w:color="85BDE2"/>
              <w:right w:val="single" w:sz="8" w:space="0" w:color="85BDE2"/>
            </w:tcBorders>
            <w:shd w:val="clear" w:color="auto" w:fill="auto"/>
            <w:vAlign w:val="center"/>
            <w:hideMark/>
          </w:tcPr>
          <w:p w14:paraId="131C8986"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Sicilia</w:t>
            </w:r>
          </w:p>
        </w:tc>
        <w:tc>
          <w:tcPr>
            <w:tcW w:w="1831" w:type="pct"/>
            <w:tcBorders>
              <w:top w:val="nil"/>
              <w:left w:val="nil"/>
              <w:bottom w:val="single" w:sz="8" w:space="0" w:color="85BDE2"/>
              <w:right w:val="single" w:sz="8" w:space="0" w:color="85BDE2"/>
            </w:tcBorders>
            <w:shd w:val="clear" w:color="auto" w:fill="auto"/>
            <w:vAlign w:val="center"/>
            <w:hideMark/>
          </w:tcPr>
          <w:p w14:paraId="48D48D3B" w14:textId="77777777" w:rsidR="00E63484" w:rsidRPr="00E63484" w:rsidRDefault="00E63484" w:rsidP="00E63484">
            <w:pPr>
              <w:spacing w:after="0" w:line="240" w:lineRule="auto"/>
              <w:rPr>
                <w:rFonts w:ascii="Avenir Next LT Pro" w:eastAsia="Times New Roman" w:hAnsi="Avenir Next LT Pro" w:cs="Calibri"/>
                <w:lang w:eastAsia="it-IT"/>
              </w:rPr>
            </w:pPr>
            <w:r w:rsidRPr="00E63484">
              <w:rPr>
                <w:rFonts w:ascii="Avenir Next LT Pro" w:eastAsia="Times New Roman" w:hAnsi="Avenir Next LT Pro" w:cs="Calibri"/>
                <w:lang w:eastAsia="it-IT"/>
              </w:rPr>
              <w:t xml:space="preserve">Platani - Quisquina - </w:t>
            </w:r>
            <w:proofErr w:type="spellStart"/>
            <w:r w:rsidRPr="00E63484">
              <w:rPr>
                <w:rFonts w:ascii="Avenir Next LT Pro" w:eastAsia="Times New Roman" w:hAnsi="Avenir Next LT Pro" w:cs="Calibri"/>
                <w:lang w:eastAsia="it-IT"/>
              </w:rPr>
              <w:t>Magazzolo</w:t>
            </w:r>
            <w:proofErr w:type="spellEnd"/>
          </w:p>
        </w:tc>
        <w:tc>
          <w:tcPr>
            <w:tcW w:w="845" w:type="pct"/>
            <w:tcBorders>
              <w:top w:val="nil"/>
              <w:left w:val="nil"/>
              <w:bottom w:val="single" w:sz="8" w:space="0" w:color="85BDE2"/>
              <w:right w:val="single" w:sz="8" w:space="0" w:color="85BDE2"/>
            </w:tcBorders>
            <w:shd w:val="clear" w:color="auto" w:fill="auto"/>
            <w:vAlign w:val="center"/>
            <w:hideMark/>
          </w:tcPr>
          <w:p w14:paraId="1D3AE914"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8.198</w:t>
            </w:r>
          </w:p>
        </w:tc>
        <w:tc>
          <w:tcPr>
            <w:tcW w:w="916" w:type="pct"/>
            <w:tcBorders>
              <w:top w:val="nil"/>
              <w:left w:val="nil"/>
              <w:bottom w:val="single" w:sz="8" w:space="0" w:color="85BDE2"/>
              <w:right w:val="single" w:sz="8" w:space="0" w:color="85BDE2"/>
            </w:tcBorders>
            <w:shd w:val="clear" w:color="auto" w:fill="auto"/>
            <w:noWrap/>
            <w:vAlign w:val="center"/>
            <w:hideMark/>
          </w:tcPr>
          <w:p w14:paraId="780C532B" w14:textId="77777777" w:rsidR="00E63484" w:rsidRPr="00E63484" w:rsidRDefault="00E63484" w:rsidP="00E63484">
            <w:pPr>
              <w:spacing w:after="0" w:line="240" w:lineRule="auto"/>
              <w:jc w:val="right"/>
              <w:rPr>
                <w:rFonts w:ascii="Avenir Next LT Pro" w:eastAsia="Times New Roman" w:hAnsi="Avenir Next LT Pro" w:cs="Calibri"/>
                <w:lang w:eastAsia="it-IT"/>
              </w:rPr>
            </w:pPr>
            <w:r w:rsidRPr="00E63484">
              <w:rPr>
                <w:rFonts w:ascii="Avenir Next LT Pro" w:eastAsia="Times New Roman" w:hAnsi="Avenir Next LT Pro" w:cs="Calibri"/>
                <w:lang w:eastAsia="it-IT"/>
              </w:rPr>
              <w:t>23</w:t>
            </w:r>
          </w:p>
        </w:tc>
      </w:tr>
      <w:tr w:rsidR="00E63484" w:rsidRPr="00E63484" w14:paraId="34B11097" w14:textId="77777777" w:rsidTr="002D0D86">
        <w:trPr>
          <w:trHeight w:val="397"/>
        </w:trPr>
        <w:tc>
          <w:tcPr>
            <w:tcW w:w="255" w:type="pct"/>
            <w:tcBorders>
              <w:top w:val="nil"/>
              <w:left w:val="single" w:sz="8" w:space="0" w:color="85BDE2"/>
              <w:bottom w:val="single" w:sz="8" w:space="0" w:color="85BDE2"/>
              <w:right w:val="single" w:sz="8" w:space="0" w:color="85BDE2"/>
            </w:tcBorders>
            <w:shd w:val="clear" w:color="000000" w:fill="D6E9F5"/>
            <w:noWrap/>
            <w:vAlign w:val="center"/>
            <w:hideMark/>
          </w:tcPr>
          <w:p w14:paraId="1A477BCD" w14:textId="77777777" w:rsidR="00E63484" w:rsidRPr="00E63484" w:rsidRDefault="00E63484" w:rsidP="00E63484">
            <w:pPr>
              <w:spacing w:after="0" w:line="240" w:lineRule="auto"/>
              <w:jc w:val="right"/>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29</w:t>
            </w:r>
          </w:p>
        </w:tc>
        <w:tc>
          <w:tcPr>
            <w:tcW w:w="1152" w:type="pct"/>
            <w:tcBorders>
              <w:top w:val="nil"/>
              <w:left w:val="nil"/>
              <w:bottom w:val="single" w:sz="8" w:space="0" w:color="85BDE2"/>
              <w:right w:val="single" w:sz="8" w:space="0" w:color="85BDE2"/>
            </w:tcBorders>
            <w:shd w:val="clear" w:color="000000" w:fill="D6E9F5"/>
            <w:vAlign w:val="center"/>
            <w:hideMark/>
          </w:tcPr>
          <w:p w14:paraId="436525D0"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Calabria</w:t>
            </w:r>
          </w:p>
        </w:tc>
        <w:tc>
          <w:tcPr>
            <w:tcW w:w="1831" w:type="pct"/>
            <w:tcBorders>
              <w:top w:val="nil"/>
              <w:left w:val="nil"/>
              <w:bottom w:val="single" w:sz="8" w:space="0" w:color="85BDE2"/>
              <w:right w:val="single" w:sz="8" w:space="0" w:color="85BDE2"/>
            </w:tcBorders>
            <w:shd w:val="clear" w:color="000000" w:fill="D6E9F5"/>
            <w:vAlign w:val="center"/>
            <w:hideMark/>
          </w:tcPr>
          <w:p w14:paraId="1A687B33" w14:textId="77777777" w:rsidR="00E63484" w:rsidRPr="00E63484" w:rsidRDefault="00E63484" w:rsidP="00E63484">
            <w:pPr>
              <w:spacing w:after="0" w:line="240" w:lineRule="auto"/>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U Valle del Torbido</w:t>
            </w:r>
          </w:p>
        </w:tc>
        <w:tc>
          <w:tcPr>
            <w:tcW w:w="845" w:type="pct"/>
            <w:tcBorders>
              <w:top w:val="nil"/>
              <w:left w:val="nil"/>
              <w:bottom w:val="single" w:sz="8" w:space="0" w:color="85BDE2"/>
              <w:right w:val="single" w:sz="8" w:space="0" w:color="85BDE2"/>
            </w:tcBorders>
            <w:shd w:val="clear" w:color="000000" w:fill="D6E9F5"/>
            <w:vAlign w:val="center"/>
            <w:hideMark/>
          </w:tcPr>
          <w:p w14:paraId="354B16D0" w14:textId="77777777" w:rsidR="00E63484" w:rsidRPr="00E63484" w:rsidRDefault="00E63484" w:rsidP="00E63484">
            <w:pPr>
              <w:spacing w:after="0" w:line="240" w:lineRule="auto"/>
              <w:jc w:val="center"/>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6.545</w:t>
            </w:r>
          </w:p>
        </w:tc>
        <w:tc>
          <w:tcPr>
            <w:tcW w:w="916" w:type="pct"/>
            <w:tcBorders>
              <w:top w:val="nil"/>
              <w:left w:val="nil"/>
              <w:bottom w:val="single" w:sz="8" w:space="0" w:color="85BDE2"/>
              <w:right w:val="single" w:sz="8" w:space="0" w:color="85BDE2"/>
            </w:tcBorders>
            <w:shd w:val="clear" w:color="000000" w:fill="D6E9F5"/>
            <w:noWrap/>
            <w:vAlign w:val="center"/>
            <w:hideMark/>
          </w:tcPr>
          <w:p w14:paraId="1CB707C0" w14:textId="77777777" w:rsidR="00E63484" w:rsidRPr="00E63484" w:rsidRDefault="00E63484" w:rsidP="00E63484">
            <w:pPr>
              <w:spacing w:after="0" w:line="240" w:lineRule="auto"/>
              <w:jc w:val="center"/>
              <w:rPr>
                <w:rFonts w:ascii="Avenir Next LT Pro" w:eastAsia="Times New Roman" w:hAnsi="Avenir Next LT Pro" w:cs="Calibri"/>
                <w:color w:val="000000"/>
                <w:lang w:eastAsia="it-IT"/>
              </w:rPr>
            </w:pPr>
            <w:r w:rsidRPr="00E63484">
              <w:rPr>
                <w:rFonts w:ascii="Avenir Next LT Pro" w:eastAsia="Times New Roman" w:hAnsi="Avenir Next LT Pro" w:cs="Calibri"/>
                <w:color w:val="000000"/>
                <w:lang w:eastAsia="it-IT"/>
              </w:rPr>
              <w:t>9</w:t>
            </w:r>
          </w:p>
        </w:tc>
      </w:tr>
    </w:tbl>
    <w:p w14:paraId="4197F05F" w14:textId="6FF20328" w:rsidR="00E63484" w:rsidRPr="00E63484" w:rsidRDefault="00E63484" w:rsidP="00E63484">
      <w:pPr>
        <w:spacing w:before="120" w:after="60" w:line="288" w:lineRule="auto"/>
        <w:jc w:val="both"/>
        <w:rPr>
          <w:rFonts w:ascii="Avenir Next LT Pro" w:eastAsia="MS Mincho" w:hAnsi="Avenir Next LT Pro" w:cs="Calibri"/>
          <w:sz w:val="20"/>
          <w:szCs w:val="20"/>
        </w:rPr>
      </w:pPr>
      <w:r w:rsidRPr="00E63484">
        <w:rPr>
          <w:rFonts w:ascii="Avenir Next LT Pro" w:eastAsia="MS Mincho" w:hAnsi="Avenir Next LT Pro" w:cs="Calibri"/>
          <w:sz w:val="20"/>
          <w:szCs w:val="20"/>
        </w:rPr>
        <w:t>Fonte: Rielaborazione su dati MEF e Indice di Capacità Amministrativa 2021</w:t>
      </w:r>
    </w:p>
    <w:p w14:paraId="7CED5230" w14:textId="77777777" w:rsidR="00E63484" w:rsidRPr="00E63484" w:rsidRDefault="00E63484" w:rsidP="00E63484">
      <w:pPr>
        <w:keepNext/>
        <w:spacing w:after="240" w:line="288" w:lineRule="auto"/>
        <w:ind w:left="1080" w:hanging="360"/>
        <w:jc w:val="both"/>
        <w:outlineLvl w:val="0"/>
        <w:rPr>
          <w:rFonts w:ascii="Avenir Next LT Pro" w:eastAsia="MS Gothic" w:hAnsi="Avenir Next LT Pro" w:cs="Times New Roman"/>
          <w:b/>
          <w:smallCaps/>
          <w:color w:val="256D9D"/>
          <w:kern w:val="28"/>
          <w:sz w:val="24"/>
          <w:szCs w:val="32"/>
        </w:rPr>
      </w:pPr>
      <w:bookmarkStart w:id="2" w:name="_Toc93168800"/>
      <w:r w:rsidRPr="00E63484">
        <w:rPr>
          <w:rFonts w:ascii="Avenir Next LT Pro" w:eastAsia="MS Gothic" w:hAnsi="Avenir Next LT Pro" w:cs="Times New Roman"/>
          <w:b/>
          <w:smallCaps/>
          <w:color w:val="256D9D"/>
          <w:kern w:val="28"/>
          <w:sz w:val="24"/>
          <w:szCs w:val="32"/>
        </w:rPr>
        <w:lastRenderedPageBreak/>
        <w:t>I risultati per macroarea</w:t>
      </w:r>
      <w:bookmarkEnd w:id="2"/>
      <w:r w:rsidRPr="00E63484">
        <w:rPr>
          <w:rFonts w:ascii="Avenir Next LT Pro" w:eastAsia="MS Gothic" w:hAnsi="Avenir Next LT Pro" w:cs="Times New Roman"/>
          <w:b/>
          <w:smallCaps/>
          <w:color w:val="256D9D"/>
          <w:kern w:val="28"/>
          <w:sz w:val="24"/>
          <w:szCs w:val="32"/>
        </w:rPr>
        <w:t xml:space="preserve"> </w:t>
      </w:r>
    </w:p>
    <w:p w14:paraId="3776E7EF"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Il risultato della capacità amministrativa può essere disaggregato nelle cinque aree di attività - Bilancio, Capacità di governance, Gestione del personale, Servizi, Appalti - dimostrando che nessuna Unione è migliore o peggiore in tutti gli indicatori. Anche l’Unione con bassa capacità di amministrare presenta score sufficienti in alcuni indicatori, in una o più aree. Ad esempio, l’Unione Collio-Alto Isonzo ha un indice di capacità amministrativa in classe </w:t>
      </w:r>
      <w:proofErr w:type="spellStart"/>
      <w:r w:rsidRPr="00E63484">
        <w:rPr>
          <w:rFonts w:ascii="Avenir Next LT Pro" w:eastAsia="MS Mincho" w:hAnsi="Avenir Next LT Pro" w:cs="Times New Roman"/>
          <w:i/>
          <w:sz w:val="23"/>
        </w:rPr>
        <w:t>Poor</w:t>
      </w:r>
      <w:proofErr w:type="spellEnd"/>
      <w:r w:rsidRPr="00E63484">
        <w:rPr>
          <w:rFonts w:ascii="Avenir Next LT Pro" w:eastAsia="MS Mincho" w:hAnsi="Avenir Next LT Pro" w:cs="Times New Roman"/>
          <w:sz w:val="23"/>
        </w:rPr>
        <w:t>, con 31%, ma nell’area Servizi si distingue per una buona rendicontazione dei procedimenti e servizi erogati, ottenendo lo score massimo.</w:t>
      </w:r>
    </w:p>
    <w:p w14:paraId="67AC9643"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Ciò è confermato dalla seguente tabella: l’Unione </w:t>
      </w:r>
      <w:r w:rsidRPr="00E63484">
        <w:rPr>
          <w:rFonts w:ascii="Avenir Next LT Pro" w:eastAsia="MS Mincho" w:hAnsi="Avenir Next LT Pro" w:cs="Times New Roman"/>
          <w:i/>
          <w:sz w:val="23"/>
        </w:rPr>
        <w:t>benchmark</w:t>
      </w:r>
      <w:r w:rsidRPr="00E63484">
        <w:rPr>
          <w:rFonts w:ascii="Avenir Next LT Pro" w:eastAsia="MS Mincho" w:hAnsi="Avenir Next LT Pro" w:cs="Times New Roman"/>
          <w:sz w:val="23"/>
        </w:rPr>
        <w:t xml:space="preserve"> è diversa in ciascuna delle cinque aree, così come lo è quella in ultima posizione. </w:t>
      </w:r>
    </w:p>
    <w:p w14:paraId="630D6B65" w14:textId="77777777" w:rsidR="00E63484" w:rsidRPr="00E63484" w:rsidRDefault="00E63484" w:rsidP="00E63484">
      <w:pPr>
        <w:spacing w:after="60" w:line="312" w:lineRule="auto"/>
        <w:jc w:val="both"/>
        <w:rPr>
          <w:rFonts w:ascii="Avenir Next LT Pro" w:eastAsia="MS Mincho" w:hAnsi="Avenir Next LT Pro" w:cs="Times New Roman"/>
          <w:sz w:val="23"/>
        </w:rPr>
      </w:pPr>
    </w:p>
    <w:p w14:paraId="14DDE07B" w14:textId="77777777" w:rsidR="00E63484" w:rsidRPr="00E63484" w:rsidRDefault="00E63484" w:rsidP="00E63484">
      <w:pPr>
        <w:spacing w:after="60" w:line="312" w:lineRule="auto"/>
        <w:jc w:val="both"/>
        <w:rPr>
          <w:rFonts w:ascii="Avenir Next LT Pro" w:eastAsia="MS Mincho" w:hAnsi="Avenir Next LT Pro" w:cs="Times New Roman"/>
          <w:sz w:val="23"/>
        </w:rPr>
      </w:pPr>
    </w:p>
    <w:p w14:paraId="1EF9798C" w14:textId="77777777" w:rsidR="00E63484" w:rsidRPr="00E63484" w:rsidRDefault="00E63484" w:rsidP="00E63484">
      <w:pPr>
        <w:keepNext/>
        <w:spacing w:after="200" w:line="240" w:lineRule="auto"/>
        <w:jc w:val="both"/>
        <w:rPr>
          <w:rFonts w:ascii="Avenir Next LT Pro" w:eastAsia="MS Mincho" w:hAnsi="Avenir Next LT Pro" w:cs="Times New Roman"/>
          <w:i/>
          <w:iCs/>
          <w:color w:val="082A75"/>
          <w:sz w:val="23"/>
          <w:szCs w:val="23"/>
        </w:rPr>
      </w:pPr>
      <w:bookmarkStart w:id="3" w:name="_Toc93170916"/>
      <w:r w:rsidRPr="00E63484">
        <w:rPr>
          <w:rFonts w:ascii="Avenir Next LT Pro" w:eastAsia="MS Mincho" w:hAnsi="Avenir Next LT Pro" w:cs="Times New Roman"/>
          <w:i/>
          <w:iCs/>
          <w:color w:val="082A75"/>
          <w:sz w:val="23"/>
          <w:szCs w:val="23"/>
        </w:rPr>
        <w:t xml:space="preserve">Tabella </w:t>
      </w:r>
      <w:r w:rsidRPr="00E63484">
        <w:rPr>
          <w:rFonts w:ascii="Avenir Next LT Pro" w:eastAsia="MS Mincho" w:hAnsi="Avenir Next LT Pro" w:cs="Times New Roman"/>
          <w:i/>
          <w:iCs/>
          <w:color w:val="082A75"/>
          <w:sz w:val="23"/>
          <w:szCs w:val="23"/>
        </w:rPr>
        <w:fldChar w:fldCharType="begin"/>
      </w:r>
      <w:r w:rsidRPr="00E63484">
        <w:rPr>
          <w:rFonts w:ascii="Avenir Next LT Pro" w:eastAsia="MS Mincho" w:hAnsi="Avenir Next LT Pro" w:cs="Times New Roman"/>
          <w:i/>
          <w:iCs/>
          <w:color w:val="082A75"/>
          <w:sz w:val="23"/>
          <w:szCs w:val="23"/>
        </w:rPr>
        <w:instrText xml:space="preserve"> SEQ Tabella \* ARABIC </w:instrText>
      </w:r>
      <w:r w:rsidRPr="00E63484">
        <w:rPr>
          <w:rFonts w:ascii="Avenir Next LT Pro" w:eastAsia="MS Mincho" w:hAnsi="Avenir Next LT Pro" w:cs="Times New Roman"/>
          <w:i/>
          <w:iCs/>
          <w:color w:val="082A75"/>
          <w:sz w:val="23"/>
          <w:szCs w:val="23"/>
        </w:rPr>
        <w:fldChar w:fldCharType="separate"/>
      </w:r>
      <w:r w:rsidRPr="00E63484">
        <w:rPr>
          <w:rFonts w:ascii="Avenir Next LT Pro" w:eastAsia="MS Mincho" w:hAnsi="Avenir Next LT Pro" w:cs="Times New Roman"/>
          <w:i/>
          <w:iCs/>
          <w:noProof/>
          <w:color w:val="082A75"/>
          <w:sz w:val="23"/>
          <w:szCs w:val="23"/>
        </w:rPr>
        <w:t>11</w:t>
      </w:r>
      <w:r w:rsidRPr="00E63484">
        <w:rPr>
          <w:rFonts w:ascii="Avenir Next LT Pro" w:eastAsia="MS Mincho" w:hAnsi="Avenir Next LT Pro" w:cs="Times New Roman"/>
          <w:i/>
          <w:iCs/>
          <w:color w:val="082A75"/>
          <w:sz w:val="23"/>
          <w:szCs w:val="23"/>
        </w:rPr>
        <w:fldChar w:fldCharType="end"/>
      </w:r>
      <w:r w:rsidRPr="00E63484">
        <w:rPr>
          <w:rFonts w:ascii="Avenir Next LT Pro" w:eastAsia="MS Mincho" w:hAnsi="Avenir Next LT Pro" w:cs="Times New Roman"/>
          <w:i/>
          <w:iCs/>
          <w:color w:val="082A75"/>
          <w:sz w:val="23"/>
          <w:szCs w:val="23"/>
        </w:rPr>
        <w:t xml:space="preserve">  UNIONI CON SCORE MIGLIORE E SCORE PEGGIORE</w:t>
      </w:r>
      <w:bookmarkEnd w:id="3"/>
    </w:p>
    <w:tbl>
      <w:tblPr>
        <w:tblW w:w="5301" w:type="pct"/>
        <w:tblLayout w:type="fixed"/>
        <w:tblCellMar>
          <w:left w:w="70" w:type="dxa"/>
          <w:right w:w="70" w:type="dxa"/>
        </w:tblCellMar>
        <w:tblLook w:val="04A0" w:firstRow="1" w:lastRow="0" w:firstColumn="1" w:lastColumn="0" w:noHBand="0" w:noVBand="1"/>
      </w:tblPr>
      <w:tblGrid>
        <w:gridCol w:w="1633"/>
        <w:gridCol w:w="1227"/>
        <w:gridCol w:w="546"/>
        <w:gridCol w:w="1089"/>
        <w:gridCol w:w="545"/>
        <w:gridCol w:w="1091"/>
        <w:gridCol w:w="545"/>
        <w:gridCol w:w="1226"/>
        <w:gridCol w:w="547"/>
        <w:gridCol w:w="1221"/>
        <w:gridCol w:w="543"/>
      </w:tblGrid>
      <w:tr w:rsidR="00E63484" w:rsidRPr="00E63484" w14:paraId="5107D39D" w14:textId="77777777" w:rsidTr="002D0D86">
        <w:trPr>
          <w:trHeight w:val="348"/>
        </w:trPr>
        <w:tc>
          <w:tcPr>
            <w:tcW w:w="799" w:type="pct"/>
            <w:tcBorders>
              <w:top w:val="nil"/>
              <w:left w:val="nil"/>
              <w:bottom w:val="nil"/>
              <w:right w:val="nil"/>
            </w:tcBorders>
            <w:shd w:val="clear" w:color="auto" w:fill="auto"/>
            <w:noWrap/>
            <w:vAlign w:val="center"/>
            <w:hideMark/>
          </w:tcPr>
          <w:p w14:paraId="63B89F70" w14:textId="77777777" w:rsidR="00E63484" w:rsidRPr="00E63484" w:rsidRDefault="00E63484" w:rsidP="00E63484">
            <w:pPr>
              <w:keepNext/>
              <w:keepLines/>
              <w:spacing w:after="0" w:line="240" w:lineRule="auto"/>
              <w:rPr>
                <w:rFonts w:ascii="Avenir Next LT Pro" w:eastAsia="Times New Roman" w:hAnsi="Avenir Next LT Pro" w:cs="Times New Roman"/>
                <w:sz w:val="20"/>
                <w:szCs w:val="20"/>
                <w:lang w:eastAsia="it-IT"/>
              </w:rPr>
            </w:pPr>
          </w:p>
        </w:tc>
        <w:tc>
          <w:tcPr>
            <w:tcW w:w="867" w:type="pct"/>
            <w:gridSpan w:val="2"/>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3CC972A4" w14:textId="77777777" w:rsidR="00E63484" w:rsidRPr="00E63484" w:rsidRDefault="00E63484" w:rsidP="00E63484">
            <w:pPr>
              <w:keepNext/>
              <w:keepLines/>
              <w:spacing w:after="0" w:line="240" w:lineRule="auto"/>
              <w:jc w:val="center"/>
              <w:rPr>
                <w:rFonts w:ascii="Avenir Next LT Pro" w:eastAsia="Times New Roman" w:hAnsi="Avenir Next LT Pro" w:cs="Calibri"/>
                <w:b/>
                <w:bCs/>
                <w:sz w:val="20"/>
                <w:szCs w:val="20"/>
                <w:lang w:eastAsia="it-IT"/>
              </w:rPr>
            </w:pPr>
            <w:r w:rsidRPr="00E63484">
              <w:rPr>
                <w:rFonts w:ascii="Avenir Next LT Pro" w:eastAsia="Times New Roman" w:hAnsi="Avenir Next LT Pro" w:cs="Calibri"/>
                <w:b/>
                <w:bCs/>
                <w:sz w:val="20"/>
                <w:szCs w:val="20"/>
                <w:lang w:eastAsia="it-IT"/>
              </w:rPr>
              <w:t>1.Bilancio</w:t>
            </w:r>
          </w:p>
        </w:tc>
        <w:tc>
          <w:tcPr>
            <w:tcW w:w="800" w:type="pct"/>
            <w:gridSpan w:val="2"/>
            <w:tcBorders>
              <w:top w:val="single" w:sz="4" w:space="0" w:color="auto"/>
              <w:left w:val="nil"/>
              <w:bottom w:val="single" w:sz="4" w:space="0" w:color="auto"/>
              <w:right w:val="single" w:sz="4" w:space="0" w:color="auto"/>
            </w:tcBorders>
            <w:shd w:val="clear" w:color="000000" w:fill="DAEEF3"/>
            <w:noWrap/>
            <w:vAlign w:val="center"/>
            <w:hideMark/>
          </w:tcPr>
          <w:p w14:paraId="173FC716" w14:textId="77777777" w:rsidR="00E63484" w:rsidRPr="00E63484" w:rsidRDefault="00E63484" w:rsidP="00E63484">
            <w:pPr>
              <w:keepNext/>
              <w:keepLines/>
              <w:spacing w:after="0" w:line="240" w:lineRule="auto"/>
              <w:jc w:val="center"/>
              <w:rPr>
                <w:rFonts w:ascii="Avenir Next LT Pro" w:eastAsia="Times New Roman" w:hAnsi="Avenir Next LT Pro" w:cs="Calibri"/>
                <w:b/>
                <w:bCs/>
                <w:sz w:val="20"/>
                <w:szCs w:val="20"/>
                <w:lang w:eastAsia="it-IT"/>
              </w:rPr>
            </w:pPr>
            <w:r w:rsidRPr="00E63484">
              <w:rPr>
                <w:rFonts w:ascii="Avenir Next LT Pro" w:eastAsia="Times New Roman" w:hAnsi="Avenir Next LT Pro" w:cs="Calibri"/>
                <w:b/>
                <w:bCs/>
                <w:sz w:val="20"/>
                <w:szCs w:val="20"/>
                <w:lang w:eastAsia="it-IT"/>
              </w:rPr>
              <w:t>2.Governance</w:t>
            </w:r>
          </w:p>
        </w:tc>
        <w:tc>
          <w:tcPr>
            <w:tcW w:w="801" w:type="pct"/>
            <w:gridSpan w:val="2"/>
            <w:tcBorders>
              <w:top w:val="single" w:sz="4" w:space="0" w:color="auto"/>
              <w:left w:val="nil"/>
              <w:bottom w:val="single" w:sz="4" w:space="0" w:color="auto"/>
              <w:right w:val="single" w:sz="4" w:space="0" w:color="auto"/>
            </w:tcBorders>
            <w:shd w:val="clear" w:color="000000" w:fill="DAEEF3"/>
            <w:noWrap/>
            <w:vAlign w:val="center"/>
            <w:hideMark/>
          </w:tcPr>
          <w:p w14:paraId="04C551BD" w14:textId="77777777" w:rsidR="00E63484" w:rsidRPr="00E63484" w:rsidRDefault="00E63484" w:rsidP="00E63484">
            <w:pPr>
              <w:keepNext/>
              <w:keepLines/>
              <w:spacing w:after="0" w:line="240" w:lineRule="auto"/>
              <w:jc w:val="center"/>
              <w:rPr>
                <w:rFonts w:ascii="Avenir Next LT Pro" w:eastAsia="Times New Roman" w:hAnsi="Avenir Next LT Pro" w:cs="Calibri"/>
                <w:b/>
                <w:bCs/>
                <w:sz w:val="20"/>
                <w:szCs w:val="20"/>
                <w:lang w:eastAsia="it-IT"/>
              </w:rPr>
            </w:pPr>
            <w:r w:rsidRPr="00E63484">
              <w:rPr>
                <w:rFonts w:ascii="Avenir Next LT Pro" w:eastAsia="Times New Roman" w:hAnsi="Avenir Next LT Pro" w:cs="Calibri"/>
                <w:b/>
                <w:bCs/>
                <w:sz w:val="20"/>
                <w:szCs w:val="20"/>
                <w:lang w:eastAsia="it-IT"/>
              </w:rPr>
              <w:t>3.Personale</w:t>
            </w:r>
          </w:p>
        </w:tc>
        <w:tc>
          <w:tcPr>
            <w:tcW w:w="868" w:type="pct"/>
            <w:gridSpan w:val="2"/>
            <w:tcBorders>
              <w:top w:val="single" w:sz="4" w:space="0" w:color="auto"/>
              <w:left w:val="nil"/>
              <w:bottom w:val="single" w:sz="4" w:space="0" w:color="auto"/>
              <w:right w:val="single" w:sz="4" w:space="0" w:color="auto"/>
            </w:tcBorders>
            <w:shd w:val="clear" w:color="000000" w:fill="DAEEF3"/>
            <w:noWrap/>
            <w:vAlign w:val="center"/>
            <w:hideMark/>
          </w:tcPr>
          <w:p w14:paraId="20DD82B9" w14:textId="77777777" w:rsidR="00E63484" w:rsidRPr="00E63484" w:rsidRDefault="00E63484" w:rsidP="00E63484">
            <w:pPr>
              <w:keepNext/>
              <w:keepLines/>
              <w:spacing w:after="0" w:line="240" w:lineRule="auto"/>
              <w:jc w:val="center"/>
              <w:rPr>
                <w:rFonts w:ascii="Avenir Next LT Pro" w:eastAsia="Times New Roman" w:hAnsi="Avenir Next LT Pro" w:cs="Calibri"/>
                <w:b/>
                <w:bCs/>
                <w:sz w:val="20"/>
                <w:szCs w:val="20"/>
                <w:lang w:eastAsia="it-IT"/>
              </w:rPr>
            </w:pPr>
            <w:r w:rsidRPr="00E63484">
              <w:rPr>
                <w:rFonts w:ascii="Avenir Next LT Pro" w:eastAsia="Times New Roman" w:hAnsi="Avenir Next LT Pro" w:cs="Calibri"/>
                <w:b/>
                <w:bCs/>
                <w:sz w:val="20"/>
                <w:szCs w:val="20"/>
                <w:lang w:eastAsia="it-IT"/>
              </w:rPr>
              <w:t>4.Servizi</w:t>
            </w:r>
          </w:p>
        </w:tc>
        <w:tc>
          <w:tcPr>
            <w:tcW w:w="864" w:type="pct"/>
            <w:gridSpan w:val="2"/>
            <w:tcBorders>
              <w:top w:val="single" w:sz="4" w:space="0" w:color="auto"/>
              <w:left w:val="nil"/>
              <w:bottom w:val="single" w:sz="4" w:space="0" w:color="auto"/>
              <w:right w:val="single" w:sz="4" w:space="0" w:color="auto"/>
            </w:tcBorders>
            <w:shd w:val="clear" w:color="000000" w:fill="DAEEF3"/>
            <w:noWrap/>
            <w:vAlign w:val="center"/>
            <w:hideMark/>
          </w:tcPr>
          <w:p w14:paraId="6CECBC7C" w14:textId="77777777" w:rsidR="00E63484" w:rsidRPr="00E63484" w:rsidRDefault="00E63484" w:rsidP="00E63484">
            <w:pPr>
              <w:keepNext/>
              <w:keepLines/>
              <w:spacing w:after="0" w:line="240" w:lineRule="auto"/>
              <w:jc w:val="center"/>
              <w:rPr>
                <w:rFonts w:ascii="Avenir Next LT Pro" w:eastAsia="Times New Roman" w:hAnsi="Avenir Next LT Pro" w:cs="Calibri"/>
                <w:b/>
                <w:bCs/>
                <w:sz w:val="20"/>
                <w:szCs w:val="20"/>
                <w:lang w:eastAsia="it-IT"/>
              </w:rPr>
            </w:pPr>
            <w:r w:rsidRPr="00E63484">
              <w:rPr>
                <w:rFonts w:ascii="Avenir Next LT Pro" w:eastAsia="Times New Roman" w:hAnsi="Avenir Next LT Pro" w:cs="Calibri"/>
                <w:b/>
                <w:bCs/>
                <w:sz w:val="20"/>
                <w:szCs w:val="20"/>
                <w:lang w:eastAsia="it-IT"/>
              </w:rPr>
              <w:t>5.Appalti</w:t>
            </w:r>
          </w:p>
        </w:tc>
      </w:tr>
      <w:tr w:rsidR="00E63484" w:rsidRPr="00E63484" w14:paraId="22D0F9DD" w14:textId="77777777" w:rsidTr="00E63484">
        <w:trPr>
          <w:trHeight w:val="1218"/>
        </w:trPr>
        <w:tc>
          <w:tcPr>
            <w:tcW w:w="799" w:type="pct"/>
            <w:tcBorders>
              <w:top w:val="single" w:sz="4" w:space="0" w:color="auto"/>
              <w:left w:val="single" w:sz="4" w:space="0" w:color="auto"/>
              <w:bottom w:val="single" w:sz="4" w:space="0" w:color="auto"/>
              <w:right w:val="single" w:sz="4" w:space="0" w:color="auto"/>
            </w:tcBorders>
            <w:shd w:val="clear" w:color="auto" w:fill="A3D0DF"/>
            <w:vAlign w:val="center"/>
            <w:hideMark/>
          </w:tcPr>
          <w:p w14:paraId="344DFD89" w14:textId="77777777" w:rsidR="00E63484" w:rsidRPr="00E63484" w:rsidRDefault="00E63484" w:rsidP="00E63484">
            <w:pPr>
              <w:keepNext/>
              <w:keepLines/>
              <w:spacing w:after="0" w:line="240" w:lineRule="auto"/>
              <w:rPr>
                <w:rFonts w:ascii="Avenir Next LT Pro" w:eastAsia="Times New Roman" w:hAnsi="Avenir Next LT Pro" w:cs="Calibri"/>
                <w:b/>
                <w:bCs/>
                <w:color w:val="FFFFFF"/>
                <w:sz w:val="20"/>
                <w:szCs w:val="20"/>
                <w:lang w:eastAsia="it-IT"/>
              </w:rPr>
            </w:pPr>
            <w:r w:rsidRPr="00E63484">
              <w:rPr>
                <w:rFonts w:ascii="Avenir Next LT Pro" w:eastAsia="Times New Roman" w:hAnsi="Avenir Next LT Pro" w:cs="Calibri"/>
                <w:b/>
                <w:bCs/>
                <w:color w:val="FFFFFF"/>
                <w:sz w:val="20"/>
                <w:szCs w:val="20"/>
                <w:lang w:eastAsia="it-IT"/>
              </w:rPr>
              <w:t xml:space="preserve">Unioni </w:t>
            </w:r>
          </w:p>
          <w:p w14:paraId="2F043FE5" w14:textId="77777777" w:rsidR="00E63484" w:rsidRPr="00E63484" w:rsidRDefault="00E63484" w:rsidP="00E63484">
            <w:pPr>
              <w:keepNext/>
              <w:keepLines/>
              <w:spacing w:after="0" w:line="240" w:lineRule="auto"/>
              <w:rPr>
                <w:rFonts w:ascii="Avenir Next LT Pro" w:eastAsia="Times New Roman" w:hAnsi="Avenir Next LT Pro" w:cs="Calibri"/>
                <w:b/>
                <w:bCs/>
                <w:color w:val="FFFFFF"/>
                <w:sz w:val="20"/>
                <w:szCs w:val="20"/>
                <w:lang w:eastAsia="it-IT"/>
              </w:rPr>
            </w:pPr>
            <w:r w:rsidRPr="00E63484">
              <w:rPr>
                <w:rFonts w:ascii="Avenir Next LT Pro" w:eastAsia="Times New Roman" w:hAnsi="Avenir Next LT Pro" w:cs="Calibri"/>
                <w:b/>
                <w:bCs/>
                <w:color w:val="FFFFFF"/>
                <w:sz w:val="20"/>
                <w:szCs w:val="20"/>
                <w:lang w:eastAsia="it-IT"/>
              </w:rPr>
              <w:t>con score MIGLIORE</w:t>
            </w:r>
          </w:p>
          <w:p w14:paraId="511406D6" w14:textId="77777777" w:rsidR="00E63484" w:rsidRPr="00E63484" w:rsidRDefault="00E63484" w:rsidP="00E63484">
            <w:pPr>
              <w:keepNext/>
              <w:keepLines/>
              <w:spacing w:after="0" w:line="240" w:lineRule="auto"/>
              <w:rPr>
                <w:rFonts w:ascii="Avenir Next LT Pro" w:eastAsia="Times New Roman" w:hAnsi="Avenir Next LT Pro" w:cs="Calibri"/>
                <w:b/>
                <w:bCs/>
                <w:color w:val="FFFFFF"/>
                <w:sz w:val="20"/>
                <w:szCs w:val="20"/>
                <w:lang w:eastAsia="it-IT"/>
              </w:rPr>
            </w:pPr>
          </w:p>
        </w:tc>
        <w:tc>
          <w:tcPr>
            <w:tcW w:w="600" w:type="pct"/>
            <w:tcBorders>
              <w:top w:val="nil"/>
              <w:left w:val="nil"/>
              <w:bottom w:val="single" w:sz="4" w:space="0" w:color="auto"/>
              <w:right w:val="single" w:sz="4" w:space="0" w:color="auto"/>
            </w:tcBorders>
            <w:shd w:val="clear" w:color="auto" w:fill="auto"/>
            <w:vAlign w:val="center"/>
            <w:hideMark/>
          </w:tcPr>
          <w:p w14:paraId="085726FF" w14:textId="77777777" w:rsidR="00E63484" w:rsidRPr="00E63484" w:rsidRDefault="00E63484" w:rsidP="00E63484">
            <w:pPr>
              <w:keepNext/>
              <w:keepLines/>
              <w:spacing w:after="0" w:line="240" w:lineRule="auto"/>
              <w:rPr>
                <w:rFonts w:ascii="Avenir Next LT Pro" w:eastAsia="Times New Roman" w:hAnsi="Avenir Next LT Pro" w:cs="Calibri"/>
                <w:color w:val="3A8EA9"/>
                <w:sz w:val="20"/>
                <w:szCs w:val="20"/>
                <w:lang w:eastAsia="it-IT"/>
              </w:rPr>
            </w:pPr>
            <w:r w:rsidRPr="00E63484">
              <w:rPr>
                <w:rFonts w:ascii="Avenir Next LT Pro" w:eastAsia="Times New Roman" w:hAnsi="Avenir Next LT Pro" w:cs="Calibri"/>
                <w:color w:val="3A8EA9"/>
                <w:sz w:val="20"/>
                <w:szCs w:val="20"/>
                <w:lang w:eastAsia="it-IT"/>
              </w:rPr>
              <w:t>UM Valli Orco e Soana</w:t>
            </w:r>
          </w:p>
        </w:tc>
        <w:tc>
          <w:tcPr>
            <w:tcW w:w="267" w:type="pct"/>
            <w:tcBorders>
              <w:top w:val="nil"/>
              <w:left w:val="nil"/>
              <w:bottom w:val="single" w:sz="4" w:space="0" w:color="auto"/>
              <w:right w:val="single" w:sz="4" w:space="0" w:color="auto"/>
            </w:tcBorders>
            <w:shd w:val="clear" w:color="auto" w:fill="auto"/>
            <w:vAlign w:val="center"/>
            <w:hideMark/>
          </w:tcPr>
          <w:p w14:paraId="127FC3A8"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93</w:t>
            </w:r>
          </w:p>
        </w:tc>
        <w:tc>
          <w:tcPr>
            <w:tcW w:w="533" w:type="pct"/>
            <w:tcBorders>
              <w:top w:val="nil"/>
              <w:left w:val="nil"/>
              <w:bottom w:val="single" w:sz="4" w:space="0" w:color="auto"/>
              <w:right w:val="single" w:sz="4" w:space="0" w:color="auto"/>
            </w:tcBorders>
            <w:shd w:val="clear" w:color="auto" w:fill="auto"/>
            <w:vAlign w:val="center"/>
            <w:hideMark/>
          </w:tcPr>
          <w:p w14:paraId="4A81AE4A"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3A8EA9"/>
                <w:sz w:val="20"/>
                <w:szCs w:val="20"/>
                <w:lang w:eastAsia="it-IT"/>
              </w:rPr>
              <w:t>UC Valle del Savio</w:t>
            </w:r>
          </w:p>
        </w:tc>
        <w:tc>
          <w:tcPr>
            <w:tcW w:w="267" w:type="pct"/>
            <w:tcBorders>
              <w:top w:val="nil"/>
              <w:left w:val="nil"/>
              <w:bottom w:val="single" w:sz="4" w:space="0" w:color="auto"/>
              <w:right w:val="single" w:sz="4" w:space="0" w:color="auto"/>
            </w:tcBorders>
            <w:shd w:val="clear" w:color="auto" w:fill="auto"/>
            <w:vAlign w:val="center"/>
            <w:hideMark/>
          </w:tcPr>
          <w:p w14:paraId="6C0837CE"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96</w:t>
            </w:r>
          </w:p>
        </w:tc>
        <w:tc>
          <w:tcPr>
            <w:tcW w:w="534" w:type="pct"/>
            <w:tcBorders>
              <w:top w:val="nil"/>
              <w:left w:val="nil"/>
              <w:bottom w:val="single" w:sz="4" w:space="0" w:color="auto"/>
              <w:right w:val="single" w:sz="4" w:space="0" w:color="auto"/>
            </w:tcBorders>
            <w:shd w:val="clear" w:color="auto" w:fill="auto"/>
            <w:vAlign w:val="center"/>
            <w:hideMark/>
          </w:tcPr>
          <w:p w14:paraId="1251BB65"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0F0D29"/>
                <w:sz w:val="20"/>
                <w:szCs w:val="20"/>
                <w:lang w:eastAsia="it-IT"/>
              </w:rPr>
              <w:t>U Pian del Bruscolo</w:t>
            </w:r>
          </w:p>
        </w:tc>
        <w:tc>
          <w:tcPr>
            <w:tcW w:w="267" w:type="pct"/>
            <w:tcBorders>
              <w:top w:val="nil"/>
              <w:left w:val="nil"/>
              <w:bottom w:val="single" w:sz="4" w:space="0" w:color="auto"/>
              <w:right w:val="single" w:sz="4" w:space="0" w:color="auto"/>
            </w:tcBorders>
            <w:shd w:val="clear" w:color="auto" w:fill="auto"/>
            <w:vAlign w:val="center"/>
            <w:hideMark/>
          </w:tcPr>
          <w:p w14:paraId="648ED859"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69</w:t>
            </w:r>
          </w:p>
        </w:tc>
        <w:tc>
          <w:tcPr>
            <w:tcW w:w="600" w:type="pct"/>
            <w:tcBorders>
              <w:top w:val="nil"/>
              <w:left w:val="nil"/>
              <w:bottom w:val="single" w:sz="4" w:space="0" w:color="auto"/>
              <w:right w:val="single" w:sz="4" w:space="0" w:color="auto"/>
            </w:tcBorders>
            <w:shd w:val="clear" w:color="auto" w:fill="auto"/>
            <w:vAlign w:val="center"/>
            <w:hideMark/>
          </w:tcPr>
          <w:p w14:paraId="570EB32F"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3A8EA9"/>
                <w:sz w:val="20"/>
                <w:szCs w:val="20"/>
                <w:lang w:eastAsia="it-IT"/>
              </w:rPr>
              <w:t>U Romagna Faentina</w:t>
            </w:r>
          </w:p>
        </w:tc>
        <w:tc>
          <w:tcPr>
            <w:tcW w:w="268" w:type="pct"/>
            <w:tcBorders>
              <w:top w:val="nil"/>
              <w:left w:val="nil"/>
              <w:bottom w:val="single" w:sz="4" w:space="0" w:color="auto"/>
              <w:right w:val="single" w:sz="4" w:space="0" w:color="auto"/>
            </w:tcBorders>
            <w:shd w:val="clear" w:color="auto" w:fill="auto"/>
            <w:vAlign w:val="center"/>
            <w:hideMark/>
          </w:tcPr>
          <w:p w14:paraId="69FCFEA5"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90</w:t>
            </w:r>
          </w:p>
        </w:tc>
        <w:tc>
          <w:tcPr>
            <w:tcW w:w="598" w:type="pct"/>
            <w:tcBorders>
              <w:top w:val="nil"/>
              <w:left w:val="nil"/>
              <w:bottom w:val="single" w:sz="4" w:space="0" w:color="auto"/>
              <w:right w:val="single" w:sz="4" w:space="0" w:color="auto"/>
            </w:tcBorders>
            <w:shd w:val="clear" w:color="auto" w:fill="auto"/>
            <w:vAlign w:val="center"/>
            <w:hideMark/>
          </w:tcPr>
          <w:p w14:paraId="29C1E15A"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3A8EA9"/>
                <w:sz w:val="20"/>
                <w:szCs w:val="20"/>
                <w:lang w:eastAsia="it-IT"/>
              </w:rPr>
              <w:t>UC Bassa Reggiana</w:t>
            </w:r>
          </w:p>
        </w:tc>
        <w:tc>
          <w:tcPr>
            <w:tcW w:w="266" w:type="pct"/>
            <w:tcBorders>
              <w:top w:val="nil"/>
              <w:left w:val="nil"/>
              <w:bottom w:val="single" w:sz="4" w:space="0" w:color="auto"/>
              <w:right w:val="single" w:sz="4" w:space="0" w:color="auto"/>
            </w:tcBorders>
            <w:shd w:val="clear" w:color="auto" w:fill="auto"/>
            <w:vAlign w:val="center"/>
            <w:hideMark/>
          </w:tcPr>
          <w:p w14:paraId="0DEEF245"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90</w:t>
            </w:r>
          </w:p>
        </w:tc>
      </w:tr>
      <w:tr w:rsidR="00E63484" w:rsidRPr="00E63484" w14:paraId="47B2FF39" w14:textId="77777777" w:rsidTr="00E63484">
        <w:trPr>
          <w:trHeight w:val="624"/>
        </w:trPr>
        <w:tc>
          <w:tcPr>
            <w:tcW w:w="799" w:type="pct"/>
            <w:vMerge w:val="restart"/>
            <w:tcBorders>
              <w:top w:val="nil"/>
              <w:left w:val="single" w:sz="4" w:space="0" w:color="auto"/>
              <w:bottom w:val="single" w:sz="4" w:space="0" w:color="auto"/>
              <w:right w:val="single" w:sz="4" w:space="0" w:color="auto"/>
            </w:tcBorders>
            <w:shd w:val="clear" w:color="auto" w:fill="A3D0DF"/>
            <w:vAlign w:val="center"/>
            <w:hideMark/>
          </w:tcPr>
          <w:p w14:paraId="460E60FC" w14:textId="77777777" w:rsidR="00E63484" w:rsidRPr="00E63484" w:rsidRDefault="00E63484" w:rsidP="00E63484">
            <w:pPr>
              <w:keepNext/>
              <w:keepLines/>
              <w:spacing w:after="0" w:line="240" w:lineRule="auto"/>
              <w:rPr>
                <w:rFonts w:ascii="Avenir Next LT Pro" w:eastAsia="Times New Roman" w:hAnsi="Avenir Next LT Pro" w:cs="Calibri"/>
                <w:b/>
                <w:bCs/>
                <w:color w:val="FFFFFF"/>
                <w:sz w:val="20"/>
                <w:szCs w:val="20"/>
                <w:lang w:eastAsia="it-IT"/>
              </w:rPr>
            </w:pPr>
            <w:r w:rsidRPr="00E63484">
              <w:rPr>
                <w:rFonts w:ascii="Avenir Next LT Pro" w:eastAsia="Times New Roman" w:hAnsi="Avenir Next LT Pro" w:cs="Calibri"/>
                <w:b/>
                <w:bCs/>
                <w:color w:val="FFFFFF"/>
                <w:sz w:val="20"/>
                <w:szCs w:val="20"/>
                <w:lang w:eastAsia="it-IT"/>
              </w:rPr>
              <w:t>Unioni</w:t>
            </w:r>
          </w:p>
          <w:p w14:paraId="30AB8B40" w14:textId="77777777" w:rsidR="00E63484" w:rsidRPr="00E63484" w:rsidRDefault="00E63484" w:rsidP="00E63484">
            <w:pPr>
              <w:keepNext/>
              <w:keepLines/>
              <w:spacing w:after="0" w:line="240" w:lineRule="auto"/>
              <w:rPr>
                <w:rFonts w:ascii="Avenir Next LT Pro" w:eastAsia="Times New Roman" w:hAnsi="Avenir Next LT Pro" w:cs="Calibri"/>
                <w:b/>
                <w:bCs/>
                <w:color w:val="FFFFFF"/>
                <w:sz w:val="20"/>
                <w:szCs w:val="20"/>
                <w:lang w:eastAsia="it-IT"/>
              </w:rPr>
            </w:pPr>
            <w:r w:rsidRPr="00E63484">
              <w:rPr>
                <w:rFonts w:ascii="Avenir Next LT Pro" w:eastAsia="Times New Roman" w:hAnsi="Avenir Next LT Pro" w:cs="Calibri"/>
                <w:b/>
                <w:bCs/>
                <w:color w:val="FFFFFF"/>
                <w:sz w:val="20"/>
                <w:szCs w:val="20"/>
                <w:lang w:eastAsia="it-IT"/>
              </w:rPr>
              <w:t xml:space="preserve">con score PEGGIORE </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14:paraId="4009D8B6"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0F0D29"/>
                <w:sz w:val="20"/>
                <w:szCs w:val="20"/>
                <w:lang w:eastAsia="it-IT"/>
              </w:rPr>
              <w:t>UC Valdichiana senese</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14:paraId="54CB9C60"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22</w:t>
            </w:r>
          </w:p>
        </w:tc>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14:paraId="223AFC0C"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C00000"/>
                <w:sz w:val="20"/>
                <w:szCs w:val="20"/>
                <w:lang w:eastAsia="it-IT"/>
              </w:rPr>
              <w:t>U Madonie</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14:paraId="4BE424C9"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14</w:t>
            </w:r>
          </w:p>
        </w:tc>
        <w:tc>
          <w:tcPr>
            <w:tcW w:w="534" w:type="pct"/>
            <w:tcBorders>
              <w:top w:val="nil"/>
              <w:left w:val="nil"/>
              <w:bottom w:val="single" w:sz="4" w:space="0" w:color="auto"/>
              <w:right w:val="single" w:sz="4" w:space="0" w:color="auto"/>
            </w:tcBorders>
            <w:shd w:val="clear" w:color="auto" w:fill="auto"/>
            <w:vAlign w:val="center"/>
            <w:hideMark/>
          </w:tcPr>
          <w:p w14:paraId="0A64175A"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3A8EA9"/>
                <w:sz w:val="20"/>
                <w:szCs w:val="20"/>
                <w:lang w:eastAsia="it-IT"/>
              </w:rPr>
              <w:t>UC Taro e Ceno</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14:paraId="3CE0937D"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25</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14:paraId="0E86FA4E"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C00000"/>
                <w:sz w:val="20"/>
                <w:szCs w:val="20"/>
                <w:lang w:eastAsia="it-IT"/>
              </w:rPr>
              <w:t>UM Valli Orco e Soana</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6B3D3848"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2</w:t>
            </w:r>
          </w:p>
        </w:tc>
        <w:tc>
          <w:tcPr>
            <w:tcW w:w="598" w:type="pct"/>
            <w:tcBorders>
              <w:top w:val="nil"/>
              <w:left w:val="nil"/>
              <w:bottom w:val="single" w:sz="4" w:space="0" w:color="auto"/>
              <w:right w:val="single" w:sz="4" w:space="0" w:color="auto"/>
            </w:tcBorders>
            <w:shd w:val="clear" w:color="auto" w:fill="auto"/>
            <w:vAlign w:val="center"/>
            <w:hideMark/>
          </w:tcPr>
          <w:p w14:paraId="26A519F8" w14:textId="77777777" w:rsidR="00E63484" w:rsidRPr="00E63484" w:rsidRDefault="00E63484" w:rsidP="00E63484">
            <w:pPr>
              <w:keepNext/>
              <w:keepLines/>
              <w:spacing w:after="0" w:line="240" w:lineRule="auto"/>
              <w:rPr>
                <w:rFonts w:ascii="Avenir Next LT Pro" w:eastAsia="Times New Roman" w:hAnsi="Avenir Next LT Pro" w:cs="Calibri"/>
                <w:color w:val="C00000"/>
                <w:sz w:val="20"/>
                <w:szCs w:val="20"/>
                <w:lang w:eastAsia="it-IT"/>
              </w:rPr>
            </w:pPr>
            <w:r w:rsidRPr="00E63484">
              <w:rPr>
                <w:rFonts w:ascii="Avenir Next LT Pro" w:eastAsia="Times New Roman" w:hAnsi="Avenir Next LT Pro" w:cs="Calibri"/>
                <w:color w:val="C00000"/>
                <w:sz w:val="20"/>
                <w:szCs w:val="20"/>
                <w:lang w:eastAsia="it-IT"/>
              </w:rPr>
              <w:t xml:space="preserve">Platani Quisquina </w:t>
            </w:r>
            <w:proofErr w:type="spellStart"/>
            <w:r w:rsidRPr="00E63484">
              <w:rPr>
                <w:rFonts w:ascii="Avenir Next LT Pro" w:eastAsia="Times New Roman" w:hAnsi="Avenir Next LT Pro" w:cs="Calibri"/>
                <w:color w:val="C00000"/>
                <w:sz w:val="20"/>
                <w:szCs w:val="20"/>
                <w:lang w:eastAsia="it-IT"/>
              </w:rPr>
              <w:t>Magazzolo</w:t>
            </w:r>
            <w:proofErr w:type="spellEnd"/>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26E203A8" w14:textId="77777777" w:rsidR="00E63484" w:rsidRPr="00E63484" w:rsidRDefault="00E63484" w:rsidP="00E63484">
            <w:pPr>
              <w:keepNext/>
              <w:keepLines/>
              <w:spacing w:after="0" w:line="240" w:lineRule="auto"/>
              <w:jc w:val="center"/>
              <w:rPr>
                <w:rFonts w:ascii="Avenir Next LT Pro" w:eastAsia="Times New Roman" w:hAnsi="Avenir Next LT Pro" w:cs="Calibri"/>
                <w:sz w:val="20"/>
                <w:szCs w:val="20"/>
                <w:lang w:eastAsia="it-IT"/>
              </w:rPr>
            </w:pPr>
            <w:r w:rsidRPr="00E63484">
              <w:rPr>
                <w:rFonts w:ascii="Avenir Next LT Pro" w:eastAsia="Times New Roman" w:hAnsi="Avenir Next LT Pro" w:cs="Calibri"/>
                <w:sz w:val="20"/>
                <w:szCs w:val="20"/>
                <w:lang w:eastAsia="it-IT"/>
              </w:rPr>
              <w:t>8</w:t>
            </w:r>
          </w:p>
        </w:tc>
      </w:tr>
      <w:tr w:rsidR="00E63484" w:rsidRPr="00E63484" w14:paraId="5E6E1704" w14:textId="77777777" w:rsidTr="00E63484">
        <w:trPr>
          <w:trHeight w:val="348"/>
        </w:trPr>
        <w:tc>
          <w:tcPr>
            <w:tcW w:w="799" w:type="pct"/>
            <w:vMerge/>
            <w:tcBorders>
              <w:top w:val="nil"/>
              <w:left w:val="single" w:sz="4" w:space="0" w:color="auto"/>
              <w:bottom w:val="single" w:sz="4" w:space="0" w:color="auto"/>
              <w:right w:val="single" w:sz="4" w:space="0" w:color="auto"/>
            </w:tcBorders>
            <w:shd w:val="clear" w:color="auto" w:fill="A3D0DF"/>
            <w:vAlign w:val="center"/>
            <w:hideMark/>
          </w:tcPr>
          <w:p w14:paraId="38F61A94"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600" w:type="pct"/>
            <w:vMerge/>
            <w:tcBorders>
              <w:top w:val="nil"/>
              <w:left w:val="single" w:sz="4" w:space="0" w:color="auto"/>
              <w:bottom w:val="single" w:sz="4" w:space="0" w:color="auto"/>
              <w:right w:val="single" w:sz="4" w:space="0" w:color="auto"/>
            </w:tcBorders>
            <w:vAlign w:val="center"/>
            <w:hideMark/>
          </w:tcPr>
          <w:p w14:paraId="546676AE"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267" w:type="pct"/>
            <w:vMerge/>
            <w:tcBorders>
              <w:top w:val="nil"/>
              <w:left w:val="single" w:sz="4" w:space="0" w:color="auto"/>
              <w:bottom w:val="single" w:sz="4" w:space="0" w:color="auto"/>
              <w:right w:val="single" w:sz="4" w:space="0" w:color="auto"/>
            </w:tcBorders>
            <w:vAlign w:val="center"/>
            <w:hideMark/>
          </w:tcPr>
          <w:p w14:paraId="79E3E605"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533" w:type="pct"/>
            <w:vMerge/>
            <w:tcBorders>
              <w:top w:val="nil"/>
              <w:left w:val="single" w:sz="4" w:space="0" w:color="auto"/>
              <w:bottom w:val="single" w:sz="4" w:space="0" w:color="auto"/>
              <w:right w:val="single" w:sz="4" w:space="0" w:color="auto"/>
            </w:tcBorders>
            <w:vAlign w:val="center"/>
            <w:hideMark/>
          </w:tcPr>
          <w:p w14:paraId="36FC54D7"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267" w:type="pct"/>
            <w:vMerge/>
            <w:tcBorders>
              <w:top w:val="nil"/>
              <w:left w:val="single" w:sz="4" w:space="0" w:color="auto"/>
              <w:bottom w:val="single" w:sz="4" w:space="0" w:color="auto"/>
              <w:right w:val="single" w:sz="4" w:space="0" w:color="auto"/>
            </w:tcBorders>
            <w:vAlign w:val="center"/>
            <w:hideMark/>
          </w:tcPr>
          <w:p w14:paraId="094F7BE0"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534" w:type="pct"/>
            <w:tcBorders>
              <w:top w:val="nil"/>
              <w:left w:val="nil"/>
              <w:bottom w:val="single" w:sz="4" w:space="0" w:color="auto"/>
              <w:right w:val="single" w:sz="4" w:space="0" w:color="auto"/>
            </w:tcBorders>
            <w:shd w:val="clear" w:color="auto" w:fill="auto"/>
            <w:vAlign w:val="center"/>
            <w:hideMark/>
          </w:tcPr>
          <w:p w14:paraId="494FE397"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r w:rsidRPr="00E63484">
              <w:rPr>
                <w:rFonts w:ascii="Avenir Next LT Pro" w:eastAsia="Times New Roman" w:hAnsi="Avenir Next LT Pro" w:cs="Calibri"/>
                <w:color w:val="C00000"/>
                <w:sz w:val="20"/>
                <w:szCs w:val="20"/>
                <w:lang w:eastAsia="it-IT"/>
              </w:rPr>
              <w:t>U Val Vibrata</w:t>
            </w:r>
          </w:p>
        </w:tc>
        <w:tc>
          <w:tcPr>
            <w:tcW w:w="267" w:type="pct"/>
            <w:vMerge/>
            <w:tcBorders>
              <w:top w:val="nil"/>
              <w:left w:val="single" w:sz="4" w:space="0" w:color="auto"/>
              <w:bottom w:val="single" w:sz="4" w:space="0" w:color="000000"/>
              <w:right w:val="single" w:sz="4" w:space="0" w:color="auto"/>
            </w:tcBorders>
            <w:vAlign w:val="center"/>
            <w:hideMark/>
          </w:tcPr>
          <w:p w14:paraId="18DAFFEF"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600" w:type="pct"/>
            <w:vMerge/>
            <w:tcBorders>
              <w:top w:val="nil"/>
              <w:left w:val="single" w:sz="4" w:space="0" w:color="auto"/>
              <w:bottom w:val="single" w:sz="4" w:space="0" w:color="auto"/>
              <w:right w:val="single" w:sz="4" w:space="0" w:color="auto"/>
            </w:tcBorders>
            <w:vAlign w:val="center"/>
            <w:hideMark/>
          </w:tcPr>
          <w:p w14:paraId="249932C4"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268" w:type="pct"/>
            <w:vMerge/>
            <w:tcBorders>
              <w:top w:val="nil"/>
              <w:left w:val="single" w:sz="4" w:space="0" w:color="auto"/>
              <w:bottom w:val="single" w:sz="4" w:space="0" w:color="auto"/>
              <w:right w:val="single" w:sz="4" w:space="0" w:color="auto"/>
            </w:tcBorders>
            <w:vAlign w:val="center"/>
            <w:hideMark/>
          </w:tcPr>
          <w:p w14:paraId="243D52DC"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c>
          <w:tcPr>
            <w:tcW w:w="598" w:type="pct"/>
            <w:tcBorders>
              <w:top w:val="nil"/>
              <w:left w:val="nil"/>
              <w:bottom w:val="single" w:sz="4" w:space="0" w:color="auto"/>
              <w:right w:val="single" w:sz="4" w:space="0" w:color="auto"/>
            </w:tcBorders>
            <w:shd w:val="clear" w:color="auto" w:fill="auto"/>
            <w:vAlign w:val="center"/>
            <w:hideMark/>
          </w:tcPr>
          <w:p w14:paraId="5FA08A9A" w14:textId="77777777" w:rsidR="00E63484" w:rsidRPr="00E63484" w:rsidRDefault="00E63484" w:rsidP="00E63484">
            <w:pPr>
              <w:keepNext/>
              <w:keepLines/>
              <w:spacing w:after="0" w:line="240" w:lineRule="auto"/>
              <w:rPr>
                <w:rFonts w:ascii="Avenir Next LT Pro" w:eastAsia="Times New Roman" w:hAnsi="Avenir Next LT Pro" w:cs="Calibri"/>
                <w:color w:val="C00000"/>
                <w:sz w:val="20"/>
                <w:szCs w:val="20"/>
                <w:lang w:eastAsia="it-IT"/>
              </w:rPr>
            </w:pPr>
            <w:r w:rsidRPr="00E63484">
              <w:rPr>
                <w:rFonts w:ascii="Avenir Next LT Pro" w:eastAsia="Times New Roman" w:hAnsi="Avenir Next LT Pro" w:cs="Calibri"/>
                <w:color w:val="C00000"/>
                <w:sz w:val="20"/>
                <w:szCs w:val="20"/>
                <w:lang w:eastAsia="it-IT"/>
              </w:rPr>
              <w:t>U Terre dell’</w:t>
            </w:r>
            <w:proofErr w:type="spellStart"/>
            <w:r w:rsidRPr="00E63484">
              <w:rPr>
                <w:rFonts w:ascii="Avenir Next LT Pro" w:eastAsia="Times New Roman" w:hAnsi="Avenir Next LT Pro" w:cs="Calibri"/>
                <w:color w:val="C00000"/>
                <w:sz w:val="20"/>
                <w:szCs w:val="20"/>
                <w:lang w:eastAsia="it-IT"/>
              </w:rPr>
              <w:t>Ufita</w:t>
            </w:r>
            <w:proofErr w:type="spellEnd"/>
          </w:p>
        </w:tc>
        <w:tc>
          <w:tcPr>
            <w:tcW w:w="266" w:type="pct"/>
            <w:vMerge/>
            <w:tcBorders>
              <w:top w:val="nil"/>
              <w:left w:val="single" w:sz="4" w:space="0" w:color="auto"/>
              <w:bottom w:val="single" w:sz="4" w:space="0" w:color="000000"/>
              <w:right w:val="single" w:sz="4" w:space="0" w:color="auto"/>
            </w:tcBorders>
            <w:vAlign w:val="center"/>
            <w:hideMark/>
          </w:tcPr>
          <w:p w14:paraId="2CF21721" w14:textId="77777777" w:rsidR="00E63484" w:rsidRPr="00E63484" w:rsidRDefault="00E63484" w:rsidP="00E63484">
            <w:pPr>
              <w:keepNext/>
              <w:keepLines/>
              <w:spacing w:after="0" w:line="240" w:lineRule="auto"/>
              <w:rPr>
                <w:rFonts w:ascii="Avenir Next LT Pro" w:eastAsia="Times New Roman" w:hAnsi="Avenir Next LT Pro" w:cs="Calibri"/>
                <w:sz w:val="20"/>
                <w:szCs w:val="20"/>
                <w:lang w:eastAsia="it-IT"/>
              </w:rPr>
            </w:pPr>
          </w:p>
        </w:tc>
      </w:tr>
    </w:tbl>
    <w:p w14:paraId="4075DFFA" w14:textId="77777777" w:rsidR="00E63484" w:rsidRPr="00E63484" w:rsidRDefault="00E63484" w:rsidP="00E63484">
      <w:pPr>
        <w:spacing w:before="120" w:after="60" w:line="288" w:lineRule="auto"/>
        <w:jc w:val="both"/>
        <w:rPr>
          <w:rFonts w:ascii="Avenir Next LT Pro" w:eastAsia="MS Mincho" w:hAnsi="Avenir Next LT Pro" w:cs="Calibri"/>
          <w:sz w:val="20"/>
          <w:szCs w:val="20"/>
        </w:rPr>
      </w:pPr>
      <w:r w:rsidRPr="00E63484">
        <w:rPr>
          <w:rFonts w:ascii="Avenir Next LT Pro" w:eastAsia="MS Mincho" w:hAnsi="Avenir Next LT Pro" w:cs="Calibri"/>
          <w:sz w:val="20"/>
          <w:szCs w:val="20"/>
        </w:rPr>
        <w:t>Fonte: Indice di Capacità Amministrativa 2021</w:t>
      </w:r>
    </w:p>
    <w:p w14:paraId="051E4667" w14:textId="77777777" w:rsidR="00E63484" w:rsidRPr="00E63484" w:rsidRDefault="00E63484" w:rsidP="00E63484">
      <w:pPr>
        <w:keepLines/>
        <w:spacing w:after="0" w:line="240" w:lineRule="auto"/>
        <w:jc w:val="both"/>
        <w:rPr>
          <w:rFonts w:ascii="Avenir Next LT Pro" w:eastAsia="MS Mincho" w:hAnsi="Avenir Next LT Pro" w:cs="Times New Roman"/>
          <w:sz w:val="18"/>
          <w:szCs w:val="18"/>
        </w:rPr>
      </w:pPr>
      <w:r w:rsidRPr="00E63484">
        <w:rPr>
          <w:rFonts w:ascii="Avenir Next LT Pro" w:eastAsia="MS Mincho" w:hAnsi="Avenir Next LT Pro" w:cs="Times New Roman"/>
          <w:sz w:val="18"/>
          <w:szCs w:val="18"/>
        </w:rPr>
        <w:t>Legenda: in celeste le Unioni del Nord; in rosso quelle del Sud, in nero quelle del Centro.</w:t>
      </w:r>
    </w:p>
    <w:p w14:paraId="757F82F4" w14:textId="77777777" w:rsidR="00E63484" w:rsidRPr="00E63484" w:rsidRDefault="00E63484" w:rsidP="00E63484">
      <w:pPr>
        <w:spacing w:after="60" w:line="312" w:lineRule="auto"/>
        <w:jc w:val="both"/>
        <w:rPr>
          <w:rFonts w:ascii="Avenir Next LT Pro" w:eastAsia="MS Mincho" w:hAnsi="Avenir Next LT Pro" w:cs="Times New Roman"/>
          <w:sz w:val="23"/>
        </w:rPr>
      </w:pPr>
    </w:p>
    <w:p w14:paraId="37CFCAEB"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ab/>
      </w:r>
    </w:p>
    <w:p w14:paraId="39A87203"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Come si vede sopra, in quattro aree su cinque l’Unione </w:t>
      </w:r>
      <w:r w:rsidRPr="00E63484">
        <w:rPr>
          <w:rFonts w:ascii="Avenir Next LT Pro" w:eastAsia="MS Mincho" w:hAnsi="Avenir Next LT Pro" w:cs="Times New Roman"/>
          <w:i/>
          <w:sz w:val="23"/>
        </w:rPr>
        <w:t>benchmark</w:t>
      </w:r>
      <w:r w:rsidRPr="00E63484">
        <w:rPr>
          <w:rFonts w:ascii="Avenir Next LT Pro" w:eastAsia="MS Mincho" w:hAnsi="Avenir Next LT Pro" w:cs="Times New Roman"/>
          <w:sz w:val="23"/>
        </w:rPr>
        <w:t xml:space="preserve"> si localizza al Nord e in una al Centro. Il Sud, invece, prevale tra Unioni con score peggiore, dove, tuttavia, è rappresentato anche il Nord, con l’emiliana Unione Taro e Ceno e la piemontese Unione Valli Orco e Soana, oltre al Centro con la toscana Unione Valdichiana senese.</w:t>
      </w:r>
    </w:p>
    <w:p w14:paraId="0E2AB25D"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Come dimostra la figura seguente, il quadro che si presenta in ciascuna delle suddette aree è sostanzialmente lo stesso: l’Unione più performante – quella con lo score più alto su base 100- ottiene uno score molto distante non solo da quello dell’Unione meno performante – quella con lo score più basso - ma anche dallo score medio. Solo per l’area Personale quella distanza si accorcia, comunque restando sopra i 20 punti percentuali.</w:t>
      </w:r>
    </w:p>
    <w:p w14:paraId="17094206" w14:textId="77777777" w:rsidR="00E63484" w:rsidRPr="00E63484" w:rsidRDefault="00E63484" w:rsidP="00E63484">
      <w:pPr>
        <w:spacing w:after="60" w:line="312" w:lineRule="auto"/>
        <w:jc w:val="both"/>
        <w:rPr>
          <w:rFonts w:ascii="Avenir Next LT Pro" w:eastAsia="MS Mincho" w:hAnsi="Avenir Next LT Pro" w:cs="Times New Roman"/>
          <w:sz w:val="23"/>
        </w:rPr>
      </w:pPr>
    </w:p>
    <w:p w14:paraId="5936A869" w14:textId="77777777" w:rsidR="00E63484" w:rsidRPr="00E63484" w:rsidRDefault="00E63484" w:rsidP="00E63484">
      <w:pPr>
        <w:keepNext/>
        <w:spacing w:after="200" w:line="240" w:lineRule="auto"/>
        <w:jc w:val="both"/>
        <w:rPr>
          <w:rFonts w:ascii="Avenir Next LT Pro" w:eastAsia="MS Mincho" w:hAnsi="Avenir Next LT Pro" w:cs="Times New Roman"/>
          <w:i/>
          <w:iCs/>
          <w:color w:val="082A75"/>
          <w:sz w:val="23"/>
          <w:szCs w:val="23"/>
        </w:rPr>
      </w:pPr>
      <w:bookmarkStart w:id="4" w:name="_Toc93171058"/>
      <w:r w:rsidRPr="00E63484">
        <w:rPr>
          <w:rFonts w:ascii="Avenir Next LT Pro" w:eastAsia="MS Mincho" w:hAnsi="Avenir Next LT Pro" w:cs="Times New Roman"/>
          <w:i/>
          <w:iCs/>
          <w:color w:val="082A75"/>
          <w:sz w:val="23"/>
          <w:szCs w:val="23"/>
        </w:rPr>
        <w:lastRenderedPageBreak/>
        <w:t xml:space="preserve">Figura </w:t>
      </w:r>
      <w:r w:rsidRPr="00E63484">
        <w:rPr>
          <w:rFonts w:ascii="Avenir Next LT Pro" w:eastAsia="MS Mincho" w:hAnsi="Avenir Next LT Pro" w:cs="Times New Roman"/>
          <w:i/>
          <w:iCs/>
          <w:color w:val="082A75"/>
          <w:sz w:val="23"/>
          <w:szCs w:val="23"/>
        </w:rPr>
        <w:fldChar w:fldCharType="begin"/>
      </w:r>
      <w:r w:rsidRPr="00E63484">
        <w:rPr>
          <w:rFonts w:ascii="Avenir Next LT Pro" w:eastAsia="MS Mincho" w:hAnsi="Avenir Next LT Pro" w:cs="Times New Roman"/>
          <w:i/>
          <w:iCs/>
          <w:color w:val="082A75"/>
          <w:sz w:val="23"/>
          <w:szCs w:val="23"/>
        </w:rPr>
        <w:instrText xml:space="preserve"> SEQ Figura \* ARABIC </w:instrText>
      </w:r>
      <w:r w:rsidRPr="00E63484">
        <w:rPr>
          <w:rFonts w:ascii="Avenir Next LT Pro" w:eastAsia="MS Mincho" w:hAnsi="Avenir Next LT Pro" w:cs="Times New Roman"/>
          <w:i/>
          <w:iCs/>
          <w:color w:val="082A75"/>
          <w:sz w:val="23"/>
          <w:szCs w:val="23"/>
        </w:rPr>
        <w:fldChar w:fldCharType="separate"/>
      </w:r>
      <w:r w:rsidRPr="00E63484">
        <w:rPr>
          <w:rFonts w:ascii="Avenir Next LT Pro" w:eastAsia="MS Mincho" w:hAnsi="Avenir Next LT Pro" w:cs="Times New Roman"/>
          <w:i/>
          <w:iCs/>
          <w:noProof/>
          <w:color w:val="082A75"/>
          <w:sz w:val="23"/>
          <w:szCs w:val="23"/>
        </w:rPr>
        <w:t>4</w:t>
      </w:r>
      <w:r w:rsidRPr="00E63484">
        <w:rPr>
          <w:rFonts w:ascii="Avenir Next LT Pro" w:eastAsia="MS Mincho" w:hAnsi="Avenir Next LT Pro" w:cs="Times New Roman"/>
          <w:i/>
          <w:iCs/>
          <w:color w:val="082A75"/>
          <w:sz w:val="23"/>
          <w:szCs w:val="23"/>
        </w:rPr>
        <w:fldChar w:fldCharType="end"/>
      </w:r>
      <w:r w:rsidRPr="00E63484">
        <w:rPr>
          <w:rFonts w:ascii="Avenir Next LT Pro" w:eastAsia="MS Mincho" w:hAnsi="Avenir Next LT Pro" w:cs="Times New Roman"/>
          <w:i/>
          <w:iCs/>
          <w:color w:val="082A75"/>
          <w:sz w:val="23"/>
          <w:szCs w:val="23"/>
        </w:rPr>
        <w:t xml:space="preserve">  SCORE MIGLIORE, PEGGIORE E MEDIO PER CINQUE AREE DI ATTIVITÀ</w:t>
      </w:r>
      <w:bookmarkEnd w:id="4"/>
    </w:p>
    <w:p w14:paraId="20E7A1E2" w14:textId="77777777" w:rsidR="00E63484" w:rsidRPr="00E63484" w:rsidRDefault="00E63484" w:rsidP="00E63484">
      <w:pPr>
        <w:spacing w:after="60" w:line="312" w:lineRule="auto"/>
        <w:jc w:val="center"/>
        <w:rPr>
          <w:rFonts w:ascii="Avenir Next LT Pro" w:eastAsia="MS Mincho" w:hAnsi="Avenir Next LT Pro" w:cs="Times New Roman"/>
          <w:sz w:val="23"/>
        </w:rPr>
      </w:pPr>
      <w:r w:rsidRPr="00E63484">
        <w:rPr>
          <w:rFonts w:ascii="Avenir Next LT Pro" w:eastAsia="MS Mincho" w:hAnsi="Avenir Next LT Pro" w:cs="Times New Roman"/>
          <w:noProof/>
          <w:sz w:val="23"/>
        </w:rPr>
        <w:drawing>
          <wp:inline distT="0" distB="0" distL="0" distR="0" wp14:anchorId="4B747D5A" wp14:editId="4EF9CC7F">
            <wp:extent cx="6256020" cy="3848735"/>
            <wp:effectExtent l="0" t="0" r="0" b="0"/>
            <wp:docPr id="99" name="Grafico 99">
              <a:extLst xmlns:a="http://schemas.openxmlformats.org/drawingml/2006/main">
                <a:ext uri="{FF2B5EF4-FFF2-40B4-BE49-F238E27FC236}">
                  <a16:creationId xmlns:a16="http://schemas.microsoft.com/office/drawing/2014/main" id="{CF4F6B0B-269C-4E5E-A002-632B41446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3A177E" w14:textId="77777777" w:rsidR="00E63484" w:rsidRPr="00E63484" w:rsidRDefault="00E63484" w:rsidP="00E63484">
      <w:pPr>
        <w:spacing w:after="60" w:line="288" w:lineRule="auto"/>
        <w:jc w:val="both"/>
        <w:rPr>
          <w:rFonts w:ascii="Avenir Next LT Pro" w:eastAsia="MS Mincho" w:hAnsi="Avenir Next LT Pro" w:cs="Calibri"/>
          <w:sz w:val="20"/>
          <w:szCs w:val="20"/>
        </w:rPr>
      </w:pPr>
      <w:r w:rsidRPr="00E63484">
        <w:rPr>
          <w:rFonts w:ascii="Avenir Next LT Pro" w:eastAsia="MS Mincho" w:hAnsi="Avenir Next LT Pro" w:cs="Calibri"/>
          <w:sz w:val="20"/>
          <w:szCs w:val="20"/>
        </w:rPr>
        <w:t>Fonte: Indice di Capacità Amministrativa 2021</w:t>
      </w:r>
    </w:p>
    <w:p w14:paraId="5CA4260C" w14:textId="77777777" w:rsidR="00E63484" w:rsidRPr="00E63484" w:rsidRDefault="00E63484" w:rsidP="00E63484">
      <w:pPr>
        <w:ind w:left="720"/>
        <w:contextualSpacing/>
        <w:jc w:val="both"/>
        <w:rPr>
          <w:rFonts w:ascii="Avenir Next LT Pro" w:eastAsia="Calibri" w:hAnsi="Avenir Next LT Pro" w:cs="Times New Roman"/>
          <w:b/>
          <w:sz w:val="23"/>
        </w:rPr>
      </w:pPr>
    </w:p>
    <w:p w14:paraId="20547C25" w14:textId="77777777" w:rsidR="00E63484" w:rsidRPr="00E63484" w:rsidRDefault="00E63484" w:rsidP="00E63484">
      <w:pPr>
        <w:ind w:left="720"/>
        <w:contextualSpacing/>
        <w:jc w:val="both"/>
        <w:rPr>
          <w:rFonts w:ascii="Avenir Next LT Pro" w:eastAsia="Calibri" w:hAnsi="Avenir Next LT Pro" w:cs="Times New Roman"/>
          <w:b/>
          <w:sz w:val="23"/>
        </w:rPr>
      </w:pPr>
    </w:p>
    <w:p w14:paraId="642B4C7D"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 xml:space="preserve">Dalla figura emerge anche un altro dato: nelle singole aree le Unioni riescono a ottenere score più elevati rispetto all’indice complessivo di capacità amministrativa. L’indice </w:t>
      </w:r>
      <w:r w:rsidRPr="00E63484">
        <w:rPr>
          <w:rFonts w:ascii="Avenir Next LT Pro" w:eastAsia="MS Mincho" w:hAnsi="Avenir Next LT Pro" w:cs="Times New Roman"/>
          <w:i/>
          <w:sz w:val="23"/>
        </w:rPr>
        <w:t>benchmark</w:t>
      </w:r>
      <w:r w:rsidRPr="00E63484">
        <w:rPr>
          <w:rFonts w:ascii="Avenir Next LT Pro" w:eastAsia="MS Mincho" w:hAnsi="Avenir Next LT Pro" w:cs="Times New Roman"/>
          <w:sz w:val="23"/>
        </w:rPr>
        <w:t xml:space="preserve">, infatti, si ferma in classe </w:t>
      </w:r>
      <w:r w:rsidRPr="00E63484">
        <w:rPr>
          <w:rFonts w:ascii="Avenir Next LT Pro" w:eastAsia="MS Mincho" w:hAnsi="Avenir Next LT Pro" w:cs="Times New Roman"/>
          <w:i/>
          <w:sz w:val="23"/>
        </w:rPr>
        <w:t>Good</w:t>
      </w:r>
      <w:r w:rsidRPr="00E63484">
        <w:rPr>
          <w:rFonts w:ascii="Avenir Next LT Pro" w:eastAsia="MS Mincho" w:hAnsi="Avenir Next LT Pro" w:cs="Times New Roman"/>
          <w:sz w:val="23"/>
        </w:rPr>
        <w:t xml:space="preserve">, con 75%, mentre lo score </w:t>
      </w:r>
      <w:r w:rsidRPr="00E63484">
        <w:rPr>
          <w:rFonts w:ascii="Avenir Next LT Pro" w:eastAsia="MS Mincho" w:hAnsi="Avenir Next LT Pro" w:cs="Times New Roman"/>
          <w:i/>
          <w:sz w:val="23"/>
        </w:rPr>
        <w:t>benchmark</w:t>
      </w:r>
      <w:r w:rsidRPr="00E63484">
        <w:rPr>
          <w:rFonts w:ascii="Avenir Next LT Pro" w:eastAsia="MS Mincho" w:hAnsi="Avenir Next LT Pro" w:cs="Times New Roman"/>
          <w:sz w:val="23"/>
        </w:rPr>
        <w:t xml:space="preserve"> nel Bilancio, nella Governance, nei Servizi e negli Appalti si colloca addirittura in classe </w:t>
      </w:r>
      <w:proofErr w:type="spellStart"/>
      <w:r w:rsidRPr="00E63484">
        <w:rPr>
          <w:rFonts w:ascii="Avenir Next LT Pro" w:eastAsia="MS Mincho" w:hAnsi="Avenir Next LT Pro" w:cs="Times New Roman"/>
          <w:i/>
          <w:iCs/>
          <w:sz w:val="23"/>
        </w:rPr>
        <w:t>Excellent</w:t>
      </w:r>
      <w:proofErr w:type="spellEnd"/>
      <w:r w:rsidRPr="00E63484">
        <w:rPr>
          <w:rFonts w:ascii="Avenir Next LT Pro" w:eastAsia="MS Mincho" w:hAnsi="Avenir Next LT Pro" w:cs="Times New Roman"/>
          <w:sz w:val="23"/>
        </w:rPr>
        <w:t>, la più vicina a 100%.</w:t>
      </w:r>
    </w:p>
    <w:p w14:paraId="6C224853" w14:textId="77777777" w:rsidR="00E63484" w:rsidRPr="00E63484" w:rsidRDefault="00E63484" w:rsidP="00E63484">
      <w:pPr>
        <w:spacing w:after="60" w:line="312" w:lineRule="auto"/>
        <w:jc w:val="both"/>
        <w:rPr>
          <w:rFonts w:ascii="Avenir Next LT Pro" w:eastAsia="MS Mincho" w:hAnsi="Avenir Next LT Pro" w:cs="Times New Roman"/>
          <w:sz w:val="23"/>
        </w:rPr>
      </w:pPr>
      <w:r w:rsidRPr="00E63484">
        <w:rPr>
          <w:rFonts w:ascii="Avenir Next LT Pro" w:eastAsia="MS Mincho" w:hAnsi="Avenir Next LT Pro" w:cs="Times New Roman"/>
          <w:sz w:val="23"/>
        </w:rPr>
        <w:t>Si noti che gli score medi sono tutti sotto la sufficienza, in quanto il risultato pari o prossimo allo zero di alcune Unioni (soprattutto, quella delle Madonie) ha tirato al ribasso il risultato medio delle altre.</w:t>
      </w:r>
    </w:p>
    <w:p w14:paraId="7A3D8E16" w14:textId="77777777" w:rsidR="00E63484" w:rsidRPr="00E63484" w:rsidRDefault="00E63484" w:rsidP="00E63484">
      <w:pPr>
        <w:spacing w:after="60" w:line="312" w:lineRule="auto"/>
        <w:jc w:val="both"/>
        <w:rPr>
          <w:rFonts w:ascii="Avenir Next LT Pro" w:eastAsia="Calibri" w:hAnsi="Avenir Next LT Pro" w:cs="Times New Roman"/>
          <w:bCs/>
          <w:sz w:val="23"/>
        </w:rPr>
      </w:pPr>
      <w:r w:rsidRPr="00E63484">
        <w:rPr>
          <w:rFonts w:ascii="Avenir Next LT Pro" w:eastAsia="MS Mincho" w:hAnsi="Avenir Next LT Pro" w:cs="Times New Roman"/>
          <w:sz w:val="23"/>
        </w:rPr>
        <w:t>La considerazione conclusiva è che</w:t>
      </w:r>
      <w:r w:rsidRPr="00E63484">
        <w:rPr>
          <w:rFonts w:ascii="Avenir Next LT Pro" w:eastAsia="Calibri" w:hAnsi="Avenir Next LT Pro" w:cs="Times New Roman"/>
          <w:bCs/>
          <w:sz w:val="23"/>
        </w:rPr>
        <w:t xml:space="preserve"> in un contesto tanto variegato, l’analisi puntuale e comparata della capacità amministrativa diventa la premessa essenziale per un’azione di supporto mirato al suo miglioramento in ciascuna Unione.</w:t>
      </w:r>
    </w:p>
    <w:p w14:paraId="52D3F5FD" w14:textId="2B4939A8" w:rsidR="00307005" w:rsidRPr="00E63484" w:rsidRDefault="00E63484" w:rsidP="00E63484">
      <w:pPr>
        <w:spacing w:after="200" w:line="276" w:lineRule="auto"/>
        <w:rPr>
          <w:rFonts w:ascii="Avenir Next LT Pro" w:eastAsia="Calibri" w:hAnsi="Avenir Next LT Pro" w:cs="Times New Roman"/>
          <w:bCs/>
          <w:sz w:val="23"/>
        </w:rPr>
      </w:pPr>
      <w:r w:rsidRPr="00E63484">
        <w:rPr>
          <w:rFonts w:ascii="Avenir Next LT Pro" w:eastAsia="MS Mincho" w:hAnsi="Avenir Next LT Pro" w:cs="Times New Roman"/>
          <w:noProof/>
          <w:sz w:val="23"/>
          <w:lang w:eastAsia="it-IT"/>
        </w:rPr>
        <mc:AlternateContent>
          <mc:Choice Requires="wps">
            <w:drawing>
              <wp:anchor distT="0" distB="0" distL="114300" distR="114300" simplePos="0" relativeHeight="251663360" behindDoc="0" locked="0" layoutInCell="1" allowOverlap="1" wp14:anchorId="60270611" wp14:editId="5420A386">
                <wp:simplePos x="0" y="0"/>
                <wp:positionH relativeFrom="page">
                  <wp:posOffset>-83820</wp:posOffset>
                </wp:positionH>
                <wp:positionV relativeFrom="paragraph">
                  <wp:posOffset>5234305</wp:posOffset>
                </wp:positionV>
                <wp:extent cx="7635240" cy="3507105"/>
                <wp:effectExtent l="0" t="0" r="3810" b="0"/>
                <wp:wrapNone/>
                <wp:docPr id="5" name="Rettangolo 5"/>
                <wp:cNvGraphicFramePr/>
                <a:graphic xmlns:a="http://schemas.openxmlformats.org/drawingml/2006/main">
                  <a:graphicData uri="http://schemas.microsoft.com/office/word/2010/wordprocessingShape">
                    <wps:wsp>
                      <wps:cNvSpPr/>
                      <wps:spPr>
                        <a:xfrm>
                          <a:off x="0" y="0"/>
                          <a:ext cx="7635240" cy="3507105"/>
                        </a:xfrm>
                        <a:prstGeom prst="rect">
                          <a:avLst/>
                        </a:prstGeom>
                        <a:gradFill flip="none" rotWithShape="1">
                          <a:gsLst>
                            <a:gs pos="0">
                              <a:srgbClr val="C1D9CB">
                                <a:lumMod val="5000"/>
                                <a:lumOff val="95000"/>
                              </a:srgbClr>
                            </a:gs>
                            <a:gs pos="74000">
                              <a:srgbClr val="C1D9CB">
                                <a:lumMod val="45000"/>
                                <a:lumOff val="55000"/>
                              </a:srgbClr>
                            </a:gs>
                            <a:gs pos="83000">
                              <a:srgbClr val="C1D9CB">
                                <a:lumMod val="45000"/>
                                <a:lumOff val="55000"/>
                              </a:srgbClr>
                            </a:gs>
                            <a:gs pos="100000">
                              <a:srgbClr val="C1D9CB">
                                <a:lumMod val="30000"/>
                                <a:lumOff val="70000"/>
                              </a:srgbClr>
                            </a:gs>
                          </a:gsLst>
                          <a:lin ang="5400000" scaled="1"/>
                          <a:tileRect/>
                        </a:gra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3F917" id="Rettangolo 5" o:spid="_x0000_s1026" style="position:absolute;margin-left:-6.6pt;margin-top:412.15pt;width:601.2pt;height:27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" fillcolor="#fcfdfc" stroked="f" strokeweight="2pt">
                <v:fill color2="#ecf4ef" rotate="t" colors="0 #fcfdfc;48497f #e3eee8;54395f #e3eee8;1 #ecf4ef" focus="100%" type="gradient"/>
                <w10:wrap anchorx="page"/>
              </v:rect>
            </w:pict>
          </mc:Fallback>
        </mc:AlternateContent>
      </w:r>
    </w:p>
    <w:sectPr w:rsidR="00307005" w:rsidRPr="00E634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FB24" w14:textId="77777777" w:rsidR="007222AE" w:rsidRDefault="007222AE" w:rsidP="007222AE">
      <w:pPr>
        <w:spacing w:after="0" w:line="240" w:lineRule="auto"/>
      </w:pPr>
      <w:r>
        <w:separator/>
      </w:r>
    </w:p>
  </w:endnote>
  <w:endnote w:type="continuationSeparator" w:id="0">
    <w:p w14:paraId="53BAD316" w14:textId="77777777" w:rsidR="007222AE" w:rsidRDefault="007222AE" w:rsidP="0072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F391" w14:textId="77777777" w:rsidR="007222AE" w:rsidRDefault="007222AE" w:rsidP="007222AE">
      <w:pPr>
        <w:spacing w:after="0" w:line="240" w:lineRule="auto"/>
      </w:pPr>
      <w:r>
        <w:separator/>
      </w:r>
    </w:p>
  </w:footnote>
  <w:footnote w:type="continuationSeparator" w:id="0">
    <w:p w14:paraId="57761FCB" w14:textId="77777777" w:rsidR="007222AE" w:rsidRDefault="007222AE" w:rsidP="00722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AE"/>
    <w:rsid w:val="004F378A"/>
    <w:rsid w:val="007222AE"/>
    <w:rsid w:val="008529C8"/>
    <w:rsid w:val="00D203B5"/>
    <w:rsid w:val="00E63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D2AA"/>
  <w15:chartTrackingRefBased/>
  <w15:docId w15:val="{546B8118-100F-4FD6-8B7F-68367744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22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222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222AE"/>
    <w:rPr>
      <w:sz w:val="20"/>
      <w:szCs w:val="20"/>
    </w:rPr>
  </w:style>
  <w:style w:type="character" w:styleId="Rimandonotaapidipagina">
    <w:name w:val="footnote reference"/>
    <w:basedOn w:val="Carpredefinitoparagrafo"/>
    <w:uiPriority w:val="99"/>
    <w:unhideWhenUsed/>
    <w:rsid w:val="007222AE"/>
    <w:rPr>
      <w:vertAlign w:val="superscript"/>
    </w:rPr>
  </w:style>
  <w:style w:type="paragraph" w:customStyle="1" w:styleId="Didascalia1">
    <w:name w:val="Didascalia1"/>
    <w:basedOn w:val="Normale"/>
    <w:next w:val="Normale"/>
    <w:uiPriority w:val="99"/>
    <w:unhideWhenUsed/>
    <w:rsid w:val="007222AE"/>
    <w:pPr>
      <w:spacing w:after="200" w:line="240" w:lineRule="auto"/>
      <w:jc w:val="both"/>
    </w:pPr>
    <w:rPr>
      <w:rFonts w:ascii="Palatino Linotype" w:eastAsia="MS Mincho" w:hAnsi="Palatino Linotype"/>
      <w:i/>
      <w:iCs/>
      <w:color w:val="082A75"/>
      <w:sz w:val="18"/>
      <w:szCs w:val="18"/>
    </w:rPr>
  </w:style>
  <w:style w:type="table" w:customStyle="1" w:styleId="Tabellagriglia4-colore21">
    <w:name w:val="Tabella griglia 4 - colore 21"/>
    <w:basedOn w:val="Tabellanormale"/>
    <w:next w:val="Tabellagriglia4-colore2"/>
    <w:uiPriority w:val="49"/>
    <w:rsid w:val="00E63484"/>
    <w:pPr>
      <w:spacing w:after="0" w:line="240" w:lineRule="auto"/>
    </w:pPr>
    <w:rPr>
      <w:sz w:val="24"/>
      <w:szCs w:val="24"/>
    </w:rPr>
    <w:tblPr>
      <w:tblStyleRowBandSize w:val="1"/>
      <w:tblStyleColBandSize w:val="1"/>
      <w:tblBorders>
        <w:top w:val="single" w:sz="4" w:space="0" w:color="85BDE2"/>
        <w:left w:val="single" w:sz="4" w:space="0" w:color="85BDE2"/>
        <w:bottom w:val="single" w:sz="4" w:space="0" w:color="85BDE2"/>
        <w:right w:val="single" w:sz="4" w:space="0" w:color="85BDE2"/>
        <w:insideH w:val="single" w:sz="4" w:space="0" w:color="85BDE2"/>
        <w:insideV w:val="single" w:sz="4" w:space="0" w:color="85BDE2"/>
      </w:tblBorders>
    </w:tblPr>
    <w:tblStylePr w:type="firstRow">
      <w:rPr>
        <w:b/>
        <w:bCs/>
        <w:color w:val="FFFFFF"/>
      </w:rPr>
      <w:tblPr/>
      <w:tcPr>
        <w:tcBorders>
          <w:top w:val="single" w:sz="4" w:space="0" w:color="3592CF"/>
          <w:left w:val="single" w:sz="4" w:space="0" w:color="3592CF"/>
          <w:bottom w:val="single" w:sz="4" w:space="0" w:color="3592CF"/>
          <w:right w:val="single" w:sz="4" w:space="0" w:color="3592CF"/>
          <w:insideH w:val="nil"/>
          <w:insideV w:val="nil"/>
        </w:tcBorders>
        <w:shd w:val="clear" w:color="auto" w:fill="3592CF"/>
      </w:tcPr>
    </w:tblStylePr>
    <w:tblStylePr w:type="lastRow">
      <w:rPr>
        <w:b/>
        <w:bCs/>
      </w:rPr>
      <w:tblPr/>
      <w:tcPr>
        <w:tcBorders>
          <w:top w:val="double" w:sz="4" w:space="0" w:color="3592CF"/>
        </w:tcBorders>
      </w:tcPr>
    </w:tblStylePr>
    <w:tblStylePr w:type="firstCol">
      <w:rPr>
        <w:b/>
        <w:bCs/>
      </w:rPr>
    </w:tblStylePr>
    <w:tblStylePr w:type="lastCol">
      <w:rPr>
        <w:b/>
        <w:bCs/>
      </w:rPr>
    </w:tblStylePr>
    <w:tblStylePr w:type="band1Vert">
      <w:tblPr/>
      <w:tcPr>
        <w:shd w:val="clear" w:color="auto" w:fill="D6E9F5"/>
      </w:tcPr>
    </w:tblStylePr>
    <w:tblStylePr w:type="band1Horz">
      <w:tblPr/>
      <w:tcPr>
        <w:shd w:val="clear" w:color="auto" w:fill="D6E9F5"/>
      </w:tcPr>
    </w:tblStylePr>
  </w:style>
  <w:style w:type="paragraph" w:customStyle="1" w:styleId="Didascalia2">
    <w:name w:val="Didascalia2"/>
    <w:basedOn w:val="Normale"/>
    <w:next w:val="Normale"/>
    <w:uiPriority w:val="99"/>
    <w:unhideWhenUsed/>
    <w:rsid w:val="00E63484"/>
    <w:pPr>
      <w:spacing w:after="200" w:line="240" w:lineRule="auto"/>
      <w:jc w:val="both"/>
    </w:pPr>
    <w:rPr>
      <w:rFonts w:ascii="Palatino Linotype" w:eastAsia="MS Mincho" w:hAnsi="Palatino Linotype"/>
      <w:i/>
      <w:iCs/>
      <w:color w:val="082A75"/>
      <w:sz w:val="18"/>
      <w:szCs w:val="18"/>
    </w:rPr>
  </w:style>
  <w:style w:type="table" w:styleId="Tabellagriglia4-colore2">
    <w:name w:val="Grid Table 4 Accent 2"/>
    <w:basedOn w:val="Tabellanormale"/>
    <w:uiPriority w:val="49"/>
    <w:rsid w:val="00E634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7C80"/>
            </a:solidFill>
            <a:ln>
              <a:noFill/>
            </a:ln>
            <a:effectLst/>
            <a:sp3d/>
          </c:spPr>
          <c:invertIfNegative val="0"/>
          <c:dPt>
            <c:idx val="0"/>
            <c:invertIfNegative val="0"/>
            <c:bubble3D val="0"/>
            <c:spPr>
              <a:solidFill>
                <a:srgbClr val="B2DE82"/>
              </a:solidFill>
              <a:ln>
                <a:noFill/>
              </a:ln>
              <a:effectLst/>
              <a:sp3d/>
            </c:spPr>
            <c:extLst>
              <c:ext xmlns:c16="http://schemas.microsoft.com/office/drawing/2014/chart" uri="{C3380CC4-5D6E-409C-BE32-E72D297353CC}">
                <c16:uniqueId val="{00000001-AEAD-458D-8128-F948C4B0304C}"/>
              </c:ext>
            </c:extLst>
          </c:dPt>
          <c:dPt>
            <c:idx val="1"/>
            <c:invertIfNegative val="0"/>
            <c:bubble3D val="0"/>
            <c:spPr>
              <a:solidFill>
                <a:srgbClr val="B2DE82"/>
              </a:solidFill>
              <a:ln>
                <a:noFill/>
              </a:ln>
              <a:effectLst/>
              <a:sp3d/>
            </c:spPr>
            <c:extLst>
              <c:ext xmlns:c16="http://schemas.microsoft.com/office/drawing/2014/chart" uri="{C3380CC4-5D6E-409C-BE32-E72D297353CC}">
                <c16:uniqueId val="{00000003-AEAD-458D-8128-F948C4B0304C}"/>
              </c:ext>
            </c:extLst>
          </c:dPt>
          <c:dPt>
            <c:idx val="2"/>
            <c:invertIfNegative val="0"/>
            <c:bubble3D val="0"/>
            <c:spPr>
              <a:solidFill>
                <a:srgbClr val="B2DE82"/>
              </a:solidFill>
              <a:ln>
                <a:noFill/>
              </a:ln>
              <a:effectLst/>
              <a:sp3d/>
            </c:spPr>
            <c:extLst>
              <c:ext xmlns:c16="http://schemas.microsoft.com/office/drawing/2014/chart" uri="{C3380CC4-5D6E-409C-BE32-E72D297353CC}">
                <c16:uniqueId val="{00000005-AEAD-458D-8128-F948C4B0304C}"/>
              </c:ext>
            </c:extLst>
          </c:dPt>
          <c:dPt>
            <c:idx val="3"/>
            <c:invertIfNegative val="0"/>
            <c:bubble3D val="0"/>
            <c:spPr>
              <a:solidFill>
                <a:srgbClr val="B2DE82"/>
              </a:solidFill>
              <a:ln>
                <a:noFill/>
              </a:ln>
              <a:effectLst/>
              <a:sp3d/>
            </c:spPr>
            <c:extLst>
              <c:ext xmlns:c16="http://schemas.microsoft.com/office/drawing/2014/chart" uri="{C3380CC4-5D6E-409C-BE32-E72D297353CC}">
                <c16:uniqueId val="{00000007-AEAD-458D-8128-F948C4B0304C}"/>
              </c:ext>
            </c:extLst>
          </c:dPt>
          <c:dPt>
            <c:idx val="4"/>
            <c:invertIfNegative val="0"/>
            <c:bubble3D val="0"/>
            <c:spPr>
              <a:solidFill>
                <a:srgbClr val="FFFF81"/>
              </a:solidFill>
              <a:ln>
                <a:noFill/>
              </a:ln>
              <a:effectLst/>
              <a:sp3d/>
            </c:spPr>
            <c:extLst>
              <c:ext xmlns:c16="http://schemas.microsoft.com/office/drawing/2014/chart" uri="{C3380CC4-5D6E-409C-BE32-E72D297353CC}">
                <c16:uniqueId val="{00000009-AEAD-458D-8128-F948C4B0304C}"/>
              </c:ext>
            </c:extLst>
          </c:dPt>
          <c:dPt>
            <c:idx val="5"/>
            <c:invertIfNegative val="0"/>
            <c:bubble3D val="0"/>
            <c:spPr>
              <a:solidFill>
                <a:srgbClr val="FFFF81"/>
              </a:solidFill>
              <a:ln>
                <a:noFill/>
              </a:ln>
              <a:effectLst/>
              <a:sp3d/>
            </c:spPr>
            <c:extLst>
              <c:ext xmlns:c16="http://schemas.microsoft.com/office/drawing/2014/chart" uri="{C3380CC4-5D6E-409C-BE32-E72D297353CC}">
                <c16:uniqueId val="{0000000B-AEAD-458D-8128-F948C4B0304C}"/>
              </c:ext>
            </c:extLst>
          </c:dPt>
          <c:dPt>
            <c:idx val="6"/>
            <c:invertIfNegative val="0"/>
            <c:bubble3D val="0"/>
            <c:spPr>
              <a:solidFill>
                <a:srgbClr val="FFFF81"/>
              </a:solidFill>
              <a:ln>
                <a:noFill/>
              </a:ln>
              <a:effectLst/>
              <a:sp3d/>
            </c:spPr>
            <c:extLst>
              <c:ext xmlns:c16="http://schemas.microsoft.com/office/drawing/2014/chart" uri="{C3380CC4-5D6E-409C-BE32-E72D297353CC}">
                <c16:uniqueId val="{0000000D-AEAD-458D-8128-F948C4B0304C}"/>
              </c:ext>
            </c:extLst>
          </c:dPt>
          <c:dPt>
            <c:idx val="7"/>
            <c:invertIfNegative val="0"/>
            <c:bubble3D val="0"/>
            <c:spPr>
              <a:solidFill>
                <a:srgbClr val="FFFF81"/>
              </a:solidFill>
              <a:ln>
                <a:noFill/>
              </a:ln>
              <a:effectLst/>
              <a:sp3d/>
            </c:spPr>
            <c:extLst>
              <c:ext xmlns:c16="http://schemas.microsoft.com/office/drawing/2014/chart" uri="{C3380CC4-5D6E-409C-BE32-E72D297353CC}">
                <c16:uniqueId val="{0000000F-AEAD-458D-8128-F948C4B0304C}"/>
              </c:ext>
            </c:extLst>
          </c:dPt>
          <c:dPt>
            <c:idx val="8"/>
            <c:invertIfNegative val="0"/>
            <c:bubble3D val="0"/>
            <c:spPr>
              <a:solidFill>
                <a:srgbClr val="FFFF81"/>
              </a:solidFill>
              <a:ln>
                <a:noFill/>
              </a:ln>
              <a:effectLst/>
              <a:sp3d/>
            </c:spPr>
            <c:extLst>
              <c:ext xmlns:c16="http://schemas.microsoft.com/office/drawing/2014/chart" uri="{C3380CC4-5D6E-409C-BE32-E72D297353CC}">
                <c16:uniqueId val="{00000011-AEAD-458D-8128-F948C4B0304C}"/>
              </c:ext>
            </c:extLst>
          </c:dPt>
          <c:dPt>
            <c:idx val="9"/>
            <c:invertIfNegative val="0"/>
            <c:bubble3D val="0"/>
            <c:spPr>
              <a:solidFill>
                <a:srgbClr val="FFFF81"/>
              </a:solidFill>
              <a:ln>
                <a:noFill/>
              </a:ln>
              <a:effectLst/>
              <a:sp3d/>
            </c:spPr>
            <c:extLst>
              <c:ext xmlns:c16="http://schemas.microsoft.com/office/drawing/2014/chart" uri="{C3380CC4-5D6E-409C-BE32-E72D297353CC}">
                <c16:uniqueId val="{00000013-AEAD-458D-8128-F948C4B0304C}"/>
              </c:ext>
            </c:extLst>
          </c:dPt>
          <c:dPt>
            <c:idx val="10"/>
            <c:invertIfNegative val="0"/>
            <c:bubble3D val="0"/>
            <c:spPr>
              <a:solidFill>
                <a:srgbClr val="FFFF81"/>
              </a:solidFill>
              <a:ln>
                <a:noFill/>
              </a:ln>
              <a:effectLst/>
              <a:sp3d/>
            </c:spPr>
            <c:extLst>
              <c:ext xmlns:c16="http://schemas.microsoft.com/office/drawing/2014/chart" uri="{C3380CC4-5D6E-409C-BE32-E72D297353CC}">
                <c16:uniqueId val="{00000015-AEAD-458D-8128-F948C4B0304C}"/>
              </c:ext>
            </c:extLst>
          </c:dPt>
          <c:dPt>
            <c:idx val="11"/>
            <c:invertIfNegative val="0"/>
            <c:bubble3D val="0"/>
            <c:spPr>
              <a:solidFill>
                <a:srgbClr val="FFFF81"/>
              </a:solidFill>
              <a:ln>
                <a:noFill/>
              </a:ln>
              <a:effectLst/>
              <a:sp3d/>
            </c:spPr>
            <c:extLst>
              <c:ext xmlns:c16="http://schemas.microsoft.com/office/drawing/2014/chart" uri="{C3380CC4-5D6E-409C-BE32-E72D297353CC}">
                <c16:uniqueId val="{00000017-AEAD-458D-8128-F948C4B0304C}"/>
              </c:ext>
            </c:extLst>
          </c:dPt>
          <c:dPt>
            <c:idx val="12"/>
            <c:invertIfNegative val="0"/>
            <c:bubble3D val="0"/>
            <c:spPr>
              <a:solidFill>
                <a:srgbClr val="FFC1C1"/>
              </a:solidFill>
              <a:ln>
                <a:noFill/>
              </a:ln>
              <a:effectLst/>
              <a:sp3d/>
            </c:spPr>
            <c:extLst>
              <c:ext xmlns:c16="http://schemas.microsoft.com/office/drawing/2014/chart" uri="{C3380CC4-5D6E-409C-BE32-E72D297353CC}">
                <c16:uniqueId val="{00000019-AEAD-458D-8128-F948C4B0304C}"/>
              </c:ext>
            </c:extLst>
          </c:dPt>
          <c:dPt>
            <c:idx val="13"/>
            <c:invertIfNegative val="0"/>
            <c:bubble3D val="0"/>
            <c:spPr>
              <a:solidFill>
                <a:srgbClr val="FFC1C1"/>
              </a:solidFill>
              <a:ln>
                <a:noFill/>
              </a:ln>
              <a:effectLst/>
              <a:sp3d/>
            </c:spPr>
            <c:extLst>
              <c:ext xmlns:c16="http://schemas.microsoft.com/office/drawing/2014/chart" uri="{C3380CC4-5D6E-409C-BE32-E72D297353CC}">
                <c16:uniqueId val="{0000001B-AEAD-458D-8128-F948C4B0304C}"/>
              </c:ext>
            </c:extLst>
          </c:dPt>
          <c:dPt>
            <c:idx val="14"/>
            <c:invertIfNegative val="0"/>
            <c:bubble3D val="0"/>
            <c:spPr>
              <a:solidFill>
                <a:srgbClr val="FFC1C1"/>
              </a:solidFill>
              <a:ln>
                <a:noFill/>
              </a:ln>
              <a:effectLst/>
              <a:sp3d/>
            </c:spPr>
            <c:extLst>
              <c:ext xmlns:c16="http://schemas.microsoft.com/office/drawing/2014/chart" uri="{C3380CC4-5D6E-409C-BE32-E72D297353CC}">
                <c16:uniqueId val="{0000001D-AEAD-458D-8128-F948C4B0304C}"/>
              </c:ext>
            </c:extLst>
          </c:dPt>
          <c:dPt>
            <c:idx val="15"/>
            <c:invertIfNegative val="0"/>
            <c:bubble3D val="0"/>
            <c:spPr>
              <a:solidFill>
                <a:srgbClr val="FFC1C1"/>
              </a:solidFill>
              <a:ln>
                <a:noFill/>
              </a:ln>
              <a:effectLst/>
              <a:sp3d/>
            </c:spPr>
            <c:extLst>
              <c:ext xmlns:c16="http://schemas.microsoft.com/office/drawing/2014/chart" uri="{C3380CC4-5D6E-409C-BE32-E72D297353CC}">
                <c16:uniqueId val="{0000001F-AEAD-458D-8128-F948C4B0304C}"/>
              </c:ext>
            </c:extLst>
          </c:dPt>
          <c:dPt>
            <c:idx val="16"/>
            <c:invertIfNegative val="0"/>
            <c:bubble3D val="0"/>
            <c:spPr>
              <a:solidFill>
                <a:srgbClr val="FFC1C1"/>
              </a:solidFill>
              <a:ln>
                <a:noFill/>
              </a:ln>
              <a:effectLst/>
              <a:sp3d/>
            </c:spPr>
            <c:extLst>
              <c:ext xmlns:c16="http://schemas.microsoft.com/office/drawing/2014/chart" uri="{C3380CC4-5D6E-409C-BE32-E72D297353CC}">
                <c16:uniqueId val="{00000021-AEAD-458D-8128-F948C4B0304C}"/>
              </c:ext>
            </c:extLst>
          </c:dPt>
          <c:dPt>
            <c:idx val="17"/>
            <c:invertIfNegative val="0"/>
            <c:bubble3D val="0"/>
            <c:spPr>
              <a:solidFill>
                <a:srgbClr val="FFC1C1"/>
              </a:solidFill>
              <a:ln>
                <a:noFill/>
              </a:ln>
              <a:effectLst/>
              <a:sp3d/>
            </c:spPr>
            <c:extLst>
              <c:ext xmlns:c16="http://schemas.microsoft.com/office/drawing/2014/chart" uri="{C3380CC4-5D6E-409C-BE32-E72D297353CC}">
                <c16:uniqueId val="{00000023-AEAD-458D-8128-F948C4B0304C}"/>
              </c:ext>
            </c:extLst>
          </c:dPt>
          <c:dPt>
            <c:idx val="25"/>
            <c:invertIfNegative val="0"/>
            <c:bubble3D val="0"/>
            <c:spPr>
              <a:solidFill>
                <a:schemeClr val="bg1">
                  <a:lumMod val="50000"/>
                </a:schemeClr>
              </a:solidFill>
              <a:ln>
                <a:noFill/>
              </a:ln>
              <a:effectLst/>
              <a:sp3d/>
            </c:spPr>
            <c:extLst>
              <c:ext xmlns:c16="http://schemas.microsoft.com/office/drawing/2014/chart" uri="{C3380CC4-5D6E-409C-BE32-E72D297353CC}">
                <c16:uniqueId val="{00000025-AEAD-458D-8128-F948C4B0304C}"/>
              </c:ext>
            </c:extLst>
          </c:dPt>
          <c:dPt>
            <c:idx val="26"/>
            <c:invertIfNegative val="0"/>
            <c:bubble3D val="0"/>
            <c:spPr>
              <a:solidFill>
                <a:schemeClr val="bg1">
                  <a:lumMod val="50000"/>
                </a:schemeClr>
              </a:solidFill>
              <a:ln>
                <a:noFill/>
              </a:ln>
              <a:effectLst/>
              <a:sp3d/>
            </c:spPr>
            <c:extLst>
              <c:ext xmlns:c16="http://schemas.microsoft.com/office/drawing/2014/chart" uri="{C3380CC4-5D6E-409C-BE32-E72D297353CC}">
                <c16:uniqueId val="{00000027-AEAD-458D-8128-F948C4B0304C}"/>
              </c:ext>
            </c:extLst>
          </c:dPt>
          <c:dPt>
            <c:idx val="27"/>
            <c:invertIfNegative val="0"/>
            <c:bubble3D val="0"/>
            <c:spPr>
              <a:solidFill>
                <a:schemeClr val="bg1">
                  <a:lumMod val="50000"/>
                </a:schemeClr>
              </a:solidFill>
              <a:ln>
                <a:noFill/>
              </a:ln>
              <a:effectLst/>
              <a:sp3d/>
            </c:spPr>
            <c:extLst>
              <c:ext xmlns:c16="http://schemas.microsoft.com/office/drawing/2014/chart" uri="{C3380CC4-5D6E-409C-BE32-E72D297353CC}">
                <c16:uniqueId val="{00000029-AEAD-458D-8128-F948C4B0304C}"/>
              </c:ext>
            </c:extLst>
          </c:dPt>
          <c:dPt>
            <c:idx val="28"/>
            <c:invertIfNegative val="0"/>
            <c:bubble3D val="0"/>
            <c:spPr>
              <a:solidFill>
                <a:schemeClr val="bg1">
                  <a:lumMod val="50000"/>
                </a:schemeClr>
              </a:solidFill>
              <a:ln>
                <a:noFill/>
              </a:ln>
              <a:effectLst/>
              <a:sp3d/>
            </c:spPr>
            <c:extLst>
              <c:ext xmlns:c16="http://schemas.microsoft.com/office/drawing/2014/chart" uri="{C3380CC4-5D6E-409C-BE32-E72D297353CC}">
                <c16:uniqueId val="{0000002B-AEAD-458D-8128-F948C4B0304C}"/>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Rating!$C$2:$C$30</c:f>
              <c:strCache>
                <c:ptCount val="29"/>
                <c:pt idx="0">
                  <c:v>UC Valle del Savio</c:v>
                </c:pt>
                <c:pt idx="1">
                  <c:v>U Reno Galliera</c:v>
                </c:pt>
                <c:pt idx="2">
                  <c:v>U Romagna Faentina</c:v>
                </c:pt>
                <c:pt idx="3">
                  <c:v>UC Garfagnana</c:v>
                </c:pt>
                <c:pt idx="4">
                  <c:v>FC Camposampierese</c:v>
                </c:pt>
                <c:pt idx="5">
                  <c:v>U Valdera</c:v>
                </c:pt>
                <c:pt idx="6">
                  <c:v>UC Valmarecchia</c:v>
                </c:pt>
                <c:pt idx="7">
                  <c:v>UC Terre e Fiumi</c:v>
                </c:pt>
                <c:pt idx="8">
                  <c:v>UM Potenza Esino Musone</c:v>
                </c:pt>
                <c:pt idx="9">
                  <c:v>UC Bassa Reggiana</c:v>
                </c:pt>
                <c:pt idx="10">
                  <c:v>Comune Terre Roveresche</c:v>
                </c:pt>
                <c:pt idx="11">
                  <c:v>UC Riviera del Brenta</c:v>
                </c:pt>
                <c:pt idx="12">
                  <c:v>UC  Marca Occidentale</c:v>
                </c:pt>
                <c:pt idx="13">
                  <c:v>U Fossanese</c:v>
                </c:pt>
                <c:pt idx="14">
                  <c:v>UC Circondario Empolese Valdelsa</c:v>
                </c:pt>
                <c:pt idx="15">
                  <c:v>UC Montani Appennino Pistoiese</c:v>
                </c:pt>
                <c:pt idx="16">
                  <c:v>UM Valli Orco e Soana</c:v>
                </c:pt>
                <c:pt idx="17">
                  <c:v>U Pian del Bruscolo</c:v>
                </c:pt>
                <c:pt idx="18">
                  <c:v>UC Val Vibrata</c:v>
                </c:pt>
                <c:pt idx="19">
                  <c:v>UC Taro e Ceno</c:v>
                </c:pt>
                <c:pt idx="20">
                  <c:v>UC Valdichiana senese</c:v>
                </c:pt>
                <c:pt idx="21">
                  <c:v>UTI Collio-Alto Isonzo</c:v>
                </c:pt>
                <c:pt idx="22">
                  <c:v>UM Val Gallenca</c:v>
                </c:pt>
                <c:pt idx="23">
                  <c:v>UC Caldogno - Costabissara - Isola Vicentina</c:v>
                </c:pt>
                <c:pt idx="24">
                  <c:v>Platani - Quisquina - Magazzolo</c:v>
                </c:pt>
                <c:pt idx="25">
                  <c:v>U Terre dell’Ufita</c:v>
                </c:pt>
                <c:pt idx="26">
                  <c:v>UC Valle del Belice</c:v>
                </c:pt>
                <c:pt idx="27">
                  <c:v>U Madonie</c:v>
                </c:pt>
                <c:pt idx="28">
                  <c:v>U Valle del Torbido</c:v>
                </c:pt>
              </c:strCache>
            </c:strRef>
          </c:cat>
          <c:val>
            <c:numRef>
              <c:f>Rating!$D$2:$D$30</c:f>
              <c:numCache>
                <c:formatCode>0</c:formatCode>
                <c:ptCount val="29"/>
                <c:pt idx="0">
                  <c:v>75</c:v>
                </c:pt>
                <c:pt idx="1">
                  <c:v>68.2</c:v>
                </c:pt>
                <c:pt idx="2">
                  <c:v>63.6</c:v>
                </c:pt>
                <c:pt idx="3">
                  <c:v>60</c:v>
                </c:pt>
                <c:pt idx="4">
                  <c:v>59</c:v>
                </c:pt>
                <c:pt idx="5">
                  <c:v>57</c:v>
                </c:pt>
                <c:pt idx="6">
                  <c:v>54.8</c:v>
                </c:pt>
                <c:pt idx="7">
                  <c:v>53.2</c:v>
                </c:pt>
                <c:pt idx="8">
                  <c:v>53</c:v>
                </c:pt>
                <c:pt idx="9">
                  <c:v>51.2</c:v>
                </c:pt>
                <c:pt idx="10">
                  <c:v>51</c:v>
                </c:pt>
                <c:pt idx="11">
                  <c:v>50</c:v>
                </c:pt>
                <c:pt idx="12">
                  <c:v>46</c:v>
                </c:pt>
                <c:pt idx="13">
                  <c:v>43.6</c:v>
                </c:pt>
                <c:pt idx="14">
                  <c:v>42.2</c:v>
                </c:pt>
                <c:pt idx="15">
                  <c:v>41</c:v>
                </c:pt>
                <c:pt idx="16">
                  <c:v>41</c:v>
                </c:pt>
                <c:pt idx="17">
                  <c:v>39.6</c:v>
                </c:pt>
                <c:pt idx="18">
                  <c:v>38</c:v>
                </c:pt>
                <c:pt idx="19">
                  <c:v>35</c:v>
                </c:pt>
                <c:pt idx="20">
                  <c:v>32.799999999999997</c:v>
                </c:pt>
                <c:pt idx="21">
                  <c:v>31</c:v>
                </c:pt>
                <c:pt idx="22">
                  <c:v>28.6</c:v>
                </c:pt>
                <c:pt idx="23">
                  <c:v>28</c:v>
                </c:pt>
                <c:pt idx="24">
                  <c:v>22.6</c:v>
                </c:pt>
                <c:pt idx="25">
                  <c:v>20</c:v>
                </c:pt>
                <c:pt idx="26">
                  <c:v>10</c:v>
                </c:pt>
                <c:pt idx="27">
                  <c:v>9.6</c:v>
                </c:pt>
                <c:pt idx="28">
                  <c:v>8.8000000000000007</c:v>
                </c:pt>
              </c:numCache>
            </c:numRef>
          </c:val>
          <c:extLst>
            <c:ext xmlns:c16="http://schemas.microsoft.com/office/drawing/2014/chart" uri="{C3380CC4-5D6E-409C-BE32-E72D297353CC}">
              <c16:uniqueId val="{0000002C-AEAD-458D-8128-F948C4B0304C}"/>
            </c:ext>
          </c:extLst>
        </c:ser>
        <c:dLbls>
          <c:showLegendKey val="0"/>
          <c:showVal val="1"/>
          <c:showCatName val="0"/>
          <c:showSerName val="0"/>
          <c:showPercent val="0"/>
          <c:showBubbleSize val="0"/>
        </c:dLbls>
        <c:gapWidth val="150"/>
        <c:shape val="box"/>
        <c:axId val="1187127536"/>
        <c:axId val="1187127952"/>
        <c:axId val="0"/>
      </c:bar3DChart>
      <c:catAx>
        <c:axId val="1187127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1187127952"/>
        <c:crosses val="autoZero"/>
        <c:auto val="1"/>
        <c:lblAlgn val="ctr"/>
        <c:lblOffset val="100"/>
        <c:noMultiLvlLbl val="0"/>
      </c:catAx>
      <c:valAx>
        <c:axId val="11871279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1187127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Palatino Linotype" panose="02040502050505030304" pitchFamily="18" charset="0"/>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893041158099399E-2"/>
          <c:y val="3.9452678709278995E-2"/>
          <c:w val="0.89896377873639943"/>
          <c:h val="0.80378750450311354"/>
        </c:manualLayout>
      </c:layout>
      <c:bar3DChart>
        <c:barDir val="col"/>
        <c:grouping val="standard"/>
        <c:varyColors val="0"/>
        <c:ser>
          <c:idx val="0"/>
          <c:order val="0"/>
          <c:tx>
            <c:strRef>
              <c:f>'Cfr 5 macro per bench'!$B$3</c:f>
              <c:strCache>
                <c:ptCount val="1"/>
                <c:pt idx="0">
                  <c:v>Score benchmark</c:v>
                </c:pt>
              </c:strCache>
            </c:strRef>
          </c:tx>
          <c:spPr>
            <a:solidFill>
              <a:schemeClr val="accent5">
                <a:lumMod val="40000"/>
                <a:lumOff val="60000"/>
              </a:schemeClr>
            </a:solidFill>
            <a:ln>
              <a:noFill/>
            </a:ln>
            <a:effectLst/>
            <a:sp3d/>
          </c:spPr>
          <c:invertIfNegative val="0"/>
          <c:dLbls>
            <c:dLbl>
              <c:idx val="0"/>
              <c:layout>
                <c:manualLayout>
                  <c:x val="0"/>
                  <c:y val="-2.2875816993464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5-43C5-8A3A-BB612113A6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'Cfr 5 macro per bench'!$C$2:$G$2</c:f>
              <c:strCache>
                <c:ptCount val="5"/>
                <c:pt idx="0">
                  <c:v>Bilancio</c:v>
                </c:pt>
                <c:pt idx="1">
                  <c:v>Governance</c:v>
                </c:pt>
                <c:pt idx="2">
                  <c:v>Personale</c:v>
                </c:pt>
                <c:pt idx="3">
                  <c:v>Servizi</c:v>
                </c:pt>
                <c:pt idx="4">
                  <c:v>Appalti</c:v>
                </c:pt>
              </c:strCache>
            </c:strRef>
          </c:cat>
          <c:val>
            <c:numRef>
              <c:f>'Cfr 5 macro per bench'!$C$3:$G$3</c:f>
              <c:numCache>
                <c:formatCode>General</c:formatCode>
                <c:ptCount val="5"/>
                <c:pt idx="0">
                  <c:v>93</c:v>
                </c:pt>
                <c:pt idx="1">
                  <c:v>96</c:v>
                </c:pt>
                <c:pt idx="2">
                  <c:v>69</c:v>
                </c:pt>
                <c:pt idx="3">
                  <c:v>90</c:v>
                </c:pt>
                <c:pt idx="4">
                  <c:v>90</c:v>
                </c:pt>
              </c:numCache>
            </c:numRef>
          </c:val>
          <c:extLst>
            <c:ext xmlns:c16="http://schemas.microsoft.com/office/drawing/2014/chart" uri="{C3380CC4-5D6E-409C-BE32-E72D297353CC}">
              <c16:uniqueId val="{00000001-9F95-43C5-8A3A-BB612113A69A}"/>
            </c:ext>
          </c:extLst>
        </c:ser>
        <c:ser>
          <c:idx val="1"/>
          <c:order val="1"/>
          <c:tx>
            <c:strRef>
              <c:f>'Cfr 5 macro per bench'!$B$4</c:f>
              <c:strCache>
                <c:ptCount val="1"/>
                <c:pt idx="0">
                  <c:v>Score medio</c:v>
                </c:pt>
              </c:strCache>
            </c:strRef>
          </c:tx>
          <c:spPr>
            <a:solidFill>
              <a:srgbClr val="FFFF81"/>
            </a:solidFill>
            <a:ln>
              <a:noFill/>
            </a:ln>
            <a:effectLst/>
            <a:sp3d/>
          </c:spPr>
          <c:invertIfNegative val="0"/>
          <c:dLbls>
            <c:dLbl>
              <c:idx val="0"/>
              <c:layout>
                <c:manualLayout>
                  <c:x val="1.4419610670511895E-2"/>
                  <c:y val="-6.53594771241830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5-43C5-8A3A-BB612113A69A}"/>
                </c:ext>
              </c:extLst>
            </c:dLbl>
            <c:dLbl>
              <c:idx val="1"/>
              <c:layout>
                <c:manualLayout>
                  <c:x val="2.1629416005767801E-2"/>
                  <c:y val="-1.3071895424836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95-43C5-8A3A-BB612113A69A}"/>
                </c:ext>
              </c:extLst>
            </c:dLbl>
            <c:dLbl>
              <c:idx val="2"/>
              <c:layout>
                <c:manualLayout>
                  <c:x val="1.4419610670511895E-2"/>
                  <c:y val="-6.5359477124183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95-43C5-8A3A-BB612113A69A}"/>
                </c:ext>
              </c:extLst>
            </c:dLbl>
            <c:dLbl>
              <c:idx val="3"/>
              <c:layout>
                <c:manualLayout>
                  <c:x val="1.6822879115597125E-2"/>
                  <c:y val="-1.3071895424836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95-43C5-8A3A-BB612113A6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'Cfr 5 macro per bench'!$C$2:$G$2</c:f>
              <c:strCache>
                <c:ptCount val="5"/>
                <c:pt idx="0">
                  <c:v>Bilancio</c:v>
                </c:pt>
                <c:pt idx="1">
                  <c:v>Governance</c:v>
                </c:pt>
                <c:pt idx="2">
                  <c:v>Personale</c:v>
                </c:pt>
                <c:pt idx="3">
                  <c:v>Servizi</c:v>
                </c:pt>
                <c:pt idx="4">
                  <c:v>Appalti</c:v>
                </c:pt>
              </c:strCache>
            </c:strRef>
          </c:cat>
          <c:val>
            <c:numRef>
              <c:f>'Cfr 5 macro per bench'!$C$4:$G$4</c:f>
              <c:numCache>
                <c:formatCode>0</c:formatCode>
                <c:ptCount val="5"/>
                <c:pt idx="0">
                  <c:v>46</c:v>
                </c:pt>
                <c:pt idx="1">
                  <c:v>45</c:v>
                </c:pt>
                <c:pt idx="2">
                  <c:v>47</c:v>
                </c:pt>
                <c:pt idx="3">
                  <c:v>29</c:v>
                </c:pt>
                <c:pt idx="4">
                  <c:v>43</c:v>
                </c:pt>
              </c:numCache>
            </c:numRef>
          </c:val>
          <c:extLst>
            <c:ext xmlns:c16="http://schemas.microsoft.com/office/drawing/2014/chart" uri="{C3380CC4-5D6E-409C-BE32-E72D297353CC}">
              <c16:uniqueId val="{00000006-9F95-43C5-8A3A-BB612113A69A}"/>
            </c:ext>
          </c:extLst>
        </c:ser>
        <c:ser>
          <c:idx val="2"/>
          <c:order val="2"/>
          <c:tx>
            <c:strRef>
              <c:f>'Cfr 5 macro per bench'!$B$5</c:f>
              <c:strCache>
                <c:ptCount val="1"/>
                <c:pt idx="0">
                  <c:v>Score peggiore</c:v>
                </c:pt>
              </c:strCache>
            </c:strRef>
          </c:tx>
          <c:spPr>
            <a:solidFill>
              <a:srgbClr val="FF7C8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'Cfr 5 macro per bench'!$C$2:$G$2</c:f>
              <c:strCache>
                <c:ptCount val="5"/>
                <c:pt idx="0">
                  <c:v>Bilancio</c:v>
                </c:pt>
                <c:pt idx="1">
                  <c:v>Governance</c:v>
                </c:pt>
                <c:pt idx="2">
                  <c:v>Personale</c:v>
                </c:pt>
                <c:pt idx="3">
                  <c:v>Servizi</c:v>
                </c:pt>
                <c:pt idx="4">
                  <c:v>Appalti</c:v>
                </c:pt>
              </c:strCache>
            </c:strRef>
          </c:cat>
          <c:val>
            <c:numRef>
              <c:f>'Cfr 5 macro per bench'!$C$5:$G$5</c:f>
              <c:numCache>
                <c:formatCode>General</c:formatCode>
                <c:ptCount val="5"/>
                <c:pt idx="0">
                  <c:v>22</c:v>
                </c:pt>
                <c:pt idx="1">
                  <c:v>14</c:v>
                </c:pt>
                <c:pt idx="2">
                  <c:v>25</c:v>
                </c:pt>
                <c:pt idx="3">
                  <c:v>2</c:v>
                </c:pt>
                <c:pt idx="4">
                  <c:v>8</c:v>
                </c:pt>
              </c:numCache>
            </c:numRef>
          </c:val>
          <c:extLst>
            <c:ext xmlns:c16="http://schemas.microsoft.com/office/drawing/2014/chart" uri="{C3380CC4-5D6E-409C-BE32-E72D297353CC}">
              <c16:uniqueId val="{00000007-9F95-43C5-8A3A-BB612113A69A}"/>
            </c:ext>
          </c:extLst>
        </c:ser>
        <c:dLbls>
          <c:showLegendKey val="0"/>
          <c:showVal val="1"/>
          <c:showCatName val="0"/>
          <c:showSerName val="0"/>
          <c:showPercent val="0"/>
          <c:showBubbleSize val="0"/>
        </c:dLbls>
        <c:gapWidth val="150"/>
        <c:shape val="box"/>
        <c:axId val="833340815"/>
        <c:axId val="833342895"/>
        <c:axId val="918371935"/>
      </c:bar3DChart>
      <c:catAx>
        <c:axId val="8333408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833342895"/>
        <c:crosses val="autoZero"/>
        <c:auto val="1"/>
        <c:lblAlgn val="ctr"/>
        <c:lblOffset val="100"/>
        <c:noMultiLvlLbl val="0"/>
      </c:catAx>
      <c:valAx>
        <c:axId val="83334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833340815"/>
        <c:crosses val="autoZero"/>
        <c:crossBetween val="between"/>
      </c:valAx>
      <c:serAx>
        <c:axId val="918371935"/>
        <c:scaling>
          <c:orientation val="minMax"/>
        </c:scaling>
        <c:delete val="1"/>
        <c:axPos val="b"/>
        <c:majorTickMark val="none"/>
        <c:minorTickMark val="none"/>
        <c:tickLblPos val="nextTo"/>
        <c:crossAx val="833342895"/>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Caporossi</dc:creator>
  <cp:keywords/>
  <dc:description/>
  <cp:lastModifiedBy>Paola Caporossi</cp:lastModifiedBy>
  <cp:revision>2</cp:revision>
  <dcterms:created xsi:type="dcterms:W3CDTF">2022-05-15T12:38:00Z</dcterms:created>
  <dcterms:modified xsi:type="dcterms:W3CDTF">2022-05-15T12:44:00Z</dcterms:modified>
</cp:coreProperties>
</file>