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133F6" w14:textId="77777777" w:rsidR="006C0A19" w:rsidRPr="006C0A19" w:rsidRDefault="006C0A19" w:rsidP="006C0428">
      <w:pPr>
        <w:keepNext/>
        <w:spacing w:after="240" w:line="240" w:lineRule="auto"/>
        <w:ind w:left="720"/>
        <w:jc w:val="both"/>
        <w:outlineLvl w:val="1"/>
        <w:rPr>
          <w:rFonts w:ascii="Avenir Next LT Pro" w:eastAsia="MS Gothic" w:hAnsi="Avenir Next LT Pro" w:cs="Times New Roman"/>
          <w:b/>
          <w:color w:val="2B7EB7"/>
          <w:sz w:val="23"/>
          <w:szCs w:val="26"/>
        </w:rPr>
      </w:pPr>
      <w:bookmarkStart w:id="0" w:name="_Toc93168828"/>
      <w:r w:rsidRPr="006C0A19">
        <w:rPr>
          <w:rFonts w:ascii="Avenir Next LT Pro" w:eastAsia="MS Gothic" w:hAnsi="Avenir Next LT Pro" w:cs="Times New Roman"/>
          <w:b/>
          <w:color w:val="2B7EB7"/>
          <w:sz w:val="23"/>
          <w:szCs w:val="26"/>
        </w:rPr>
        <w:t>Servizi e rapporto con i cittadini</w:t>
      </w:r>
      <w:bookmarkEnd w:id="0"/>
    </w:p>
    <w:p w14:paraId="7FC32BB2" w14:textId="77777777" w:rsidR="006C0A19" w:rsidRPr="006C0A19" w:rsidRDefault="006C0A19" w:rsidP="006C0A19">
      <w:pPr>
        <w:spacing w:after="60" w:line="312" w:lineRule="auto"/>
        <w:jc w:val="both"/>
        <w:rPr>
          <w:rFonts w:ascii="Avenir Next LT Pro" w:eastAsia="MS Mincho" w:hAnsi="Avenir Next LT Pro" w:cs="Times New Roman"/>
          <w:sz w:val="23"/>
        </w:rPr>
      </w:pPr>
      <w:r w:rsidRPr="006C0A19">
        <w:rPr>
          <w:rFonts w:ascii="Avenir Next LT Pro" w:eastAsia="MS Mincho" w:hAnsi="Avenir Next LT Pro" w:cs="Times New Roman"/>
          <w:sz w:val="23"/>
        </w:rPr>
        <w:t xml:space="preserve">L’area Servizi analizza sia il livello di efficienza e di trasparenza dei servizi (in questo caso, i cittadini sono utenti), sia il livello di coinvolgimento attivo dei cittadini da parte dell’Unione (in questo caso, i cittadini sono “azionisti” dell’ente). </w:t>
      </w:r>
    </w:p>
    <w:p w14:paraId="7D7048DE" w14:textId="77777777" w:rsidR="006C0A19" w:rsidRPr="006C0A19" w:rsidRDefault="006C0A19" w:rsidP="006C0A19">
      <w:pPr>
        <w:spacing w:after="200" w:line="312" w:lineRule="auto"/>
        <w:rPr>
          <w:rFonts w:ascii="Avenir Next LT Pro" w:eastAsia="MS Mincho" w:hAnsi="Avenir Next LT Pro" w:cs="Times New Roman"/>
          <w:sz w:val="4"/>
          <w:szCs w:val="4"/>
        </w:rPr>
      </w:pPr>
    </w:p>
    <w:p w14:paraId="57A85A91" w14:textId="77777777" w:rsidR="006C0A19" w:rsidRPr="006C0A19" w:rsidRDefault="006C0A19" w:rsidP="006C0A19">
      <w:pPr>
        <w:spacing w:after="200" w:line="312" w:lineRule="auto"/>
        <w:rPr>
          <w:rFonts w:ascii="Avenir Next LT Pro" w:eastAsia="MS Mincho" w:hAnsi="Avenir Next LT Pro" w:cs="Times New Roman"/>
          <w:sz w:val="4"/>
          <w:szCs w:val="4"/>
        </w:rPr>
      </w:pPr>
      <w:r w:rsidRPr="006C0A19">
        <w:rPr>
          <w:rFonts w:ascii="Avenir Next LT Pro" w:eastAsia="MS Mincho" w:hAnsi="Avenir Next LT Pro" w:cs="Times New Roman"/>
          <w:noProof/>
          <w:sz w:val="23"/>
        </w:rPr>
        <w:drawing>
          <wp:anchor distT="0" distB="0" distL="114300" distR="114300" simplePos="0" relativeHeight="251663360" behindDoc="0" locked="0" layoutInCell="1" allowOverlap="1" wp14:anchorId="3E5EF3C0" wp14:editId="5BB9F4D3">
            <wp:simplePos x="0" y="0"/>
            <wp:positionH relativeFrom="column">
              <wp:posOffset>-510540</wp:posOffset>
            </wp:positionH>
            <wp:positionV relativeFrom="paragraph">
              <wp:posOffset>553085</wp:posOffset>
            </wp:positionV>
            <wp:extent cx="7475220" cy="4030980"/>
            <wp:effectExtent l="0" t="0" r="0" b="7620"/>
            <wp:wrapTopAndBottom/>
            <wp:docPr id="94" name="Grafico 94">
              <a:extLst xmlns:a="http://schemas.openxmlformats.org/drawingml/2006/main">
                <a:ext uri="{FF2B5EF4-FFF2-40B4-BE49-F238E27FC236}">
                  <a16:creationId xmlns:a16="http://schemas.microsoft.com/office/drawing/2014/main" id="{23EB3A9B-486E-430D-AA38-C355084D839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V relativeFrom="margin">
              <wp14:pctHeight>0</wp14:pctHeight>
            </wp14:sizeRelV>
          </wp:anchor>
        </w:drawing>
      </w:r>
      <w:r w:rsidRPr="006C0A19">
        <w:rPr>
          <w:rFonts w:ascii="Avenir Next LT Pro" w:eastAsia="MS Mincho" w:hAnsi="Avenir Next LT Pro" w:cs="Times New Roman"/>
          <w:noProof/>
          <w:sz w:val="23"/>
        </w:rPr>
        <mc:AlternateContent>
          <mc:Choice Requires="wps">
            <w:drawing>
              <wp:anchor distT="0" distB="0" distL="114300" distR="114300" simplePos="0" relativeHeight="251662336" behindDoc="0" locked="0" layoutInCell="1" allowOverlap="1" wp14:anchorId="07F227F6" wp14:editId="6FF3ABA8">
                <wp:simplePos x="0" y="0"/>
                <wp:positionH relativeFrom="margin">
                  <wp:posOffset>0</wp:posOffset>
                </wp:positionH>
                <wp:positionV relativeFrom="paragraph">
                  <wp:posOffset>130810</wp:posOffset>
                </wp:positionV>
                <wp:extent cx="6598920" cy="419100"/>
                <wp:effectExtent l="0" t="0" r="0" b="0"/>
                <wp:wrapTopAndBottom/>
                <wp:docPr id="28" name="Text Box 28"/>
                <wp:cNvGraphicFramePr/>
                <a:graphic xmlns:a="http://schemas.openxmlformats.org/drawingml/2006/main">
                  <a:graphicData uri="http://schemas.microsoft.com/office/word/2010/wordprocessingShape">
                    <wps:wsp>
                      <wps:cNvSpPr txBox="1"/>
                      <wps:spPr>
                        <a:xfrm>
                          <a:off x="0" y="0"/>
                          <a:ext cx="6598920" cy="419100"/>
                        </a:xfrm>
                        <a:prstGeom prst="rect">
                          <a:avLst/>
                        </a:prstGeom>
                        <a:solidFill>
                          <a:prstClr val="white"/>
                        </a:solidFill>
                        <a:ln>
                          <a:noFill/>
                        </a:ln>
                      </wps:spPr>
                      <wps:txbx>
                        <w:txbxContent>
                          <w:p w14:paraId="7F1BADFD" w14:textId="77777777" w:rsidR="006C0A19" w:rsidRPr="002C5C16" w:rsidRDefault="006C0A19" w:rsidP="006C0A19">
                            <w:pPr>
                              <w:pStyle w:val="Didascalia1"/>
                              <w:rPr>
                                <w:noProof/>
                                <w:sz w:val="23"/>
                                <w:szCs w:val="23"/>
                              </w:rPr>
                            </w:pPr>
                            <w:bookmarkStart w:id="1" w:name="_Toc93171081"/>
                            <w:r w:rsidRPr="002C5C16">
                              <w:rPr>
                                <w:sz w:val="23"/>
                                <w:szCs w:val="23"/>
                              </w:rPr>
                              <w:t xml:space="preserve">Figura </w:t>
                            </w:r>
                            <w:r w:rsidRPr="002C5C16">
                              <w:rPr>
                                <w:sz w:val="23"/>
                                <w:szCs w:val="23"/>
                              </w:rPr>
                              <w:fldChar w:fldCharType="begin"/>
                            </w:r>
                            <w:r w:rsidRPr="002C5C16">
                              <w:rPr>
                                <w:sz w:val="23"/>
                                <w:szCs w:val="23"/>
                              </w:rPr>
                              <w:instrText xml:space="preserve"> SEQ Figura \* ARABIC </w:instrText>
                            </w:r>
                            <w:r w:rsidRPr="002C5C16">
                              <w:rPr>
                                <w:sz w:val="23"/>
                                <w:szCs w:val="23"/>
                              </w:rPr>
                              <w:fldChar w:fldCharType="separate"/>
                            </w:r>
                            <w:r>
                              <w:rPr>
                                <w:noProof/>
                                <w:sz w:val="23"/>
                                <w:szCs w:val="23"/>
                              </w:rPr>
                              <w:t>27</w:t>
                            </w:r>
                            <w:r w:rsidRPr="002C5C16">
                              <w:rPr>
                                <w:sz w:val="23"/>
                                <w:szCs w:val="23"/>
                              </w:rPr>
                              <w:fldChar w:fldCharType="end"/>
                            </w:r>
                            <w:r w:rsidRPr="002C5C16">
                              <w:rPr>
                                <w:sz w:val="23"/>
                                <w:szCs w:val="23"/>
                              </w:rPr>
                              <w:t xml:space="preserve"> INDICE DI CAPACITÀ AMMINISTRATIVA – AREA SERVIZI E CITTADINI (score medio: 31%)</w:t>
                            </w:r>
                            <w:bookmarkEnd w:id="1"/>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F227F6" id="_x0000_t202" coordsize="21600,21600" o:spt="202" path="m,l,21600r21600,l21600,xe">
                <v:stroke joinstyle="miter"/>
                <v:path gradientshapeok="t" o:connecttype="rect"/>
              </v:shapetype>
              <v:shape id="Text Box 28" o:spid="_x0000_s1026" type="#_x0000_t202" style="position:absolute;margin-left:0;margin-top:10.3pt;width:519.6pt;height:33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" stroked="f">
                <v:textbox inset="0,0,0,0">
                  <w:txbxContent>
                    <w:p w14:paraId="7F1BADFD" w14:textId="77777777" w:rsidR="006C0A19" w:rsidRPr="002C5C16" w:rsidRDefault="006C0A19" w:rsidP="006C0A19">
                      <w:pPr>
                        <w:pStyle w:val="Didascalia1"/>
                        <w:rPr>
                          <w:noProof/>
                          <w:sz w:val="23"/>
                          <w:szCs w:val="23"/>
                        </w:rPr>
                      </w:pPr>
                      <w:bookmarkStart w:id="2" w:name="_Toc93171081"/>
                      <w:r w:rsidRPr="002C5C16">
                        <w:rPr>
                          <w:sz w:val="23"/>
                          <w:szCs w:val="23"/>
                        </w:rPr>
                        <w:t xml:space="preserve">Figura </w:t>
                      </w:r>
                      <w:r w:rsidRPr="002C5C16">
                        <w:rPr>
                          <w:sz w:val="23"/>
                          <w:szCs w:val="23"/>
                        </w:rPr>
                        <w:fldChar w:fldCharType="begin"/>
                      </w:r>
                      <w:r w:rsidRPr="002C5C16">
                        <w:rPr>
                          <w:sz w:val="23"/>
                          <w:szCs w:val="23"/>
                        </w:rPr>
                        <w:instrText xml:space="preserve"> SEQ Figura \* ARABIC </w:instrText>
                      </w:r>
                      <w:r w:rsidRPr="002C5C16">
                        <w:rPr>
                          <w:sz w:val="23"/>
                          <w:szCs w:val="23"/>
                        </w:rPr>
                        <w:fldChar w:fldCharType="separate"/>
                      </w:r>
                      <w:r>
                        <w:rPr>
                          <w:noProof/>
                          <w:sz w:val="23"/>
                          <w:szCs w:val="23"/>
                        </w:rPr>
                        <w:t>27</w:t>
                      </w:r>
                      <w:r w:rsidRPr="002C5C16">
                        <w:rPr>
                          <w:sz w:val="23"/>
                          <w:szCs w:val="23"/>
                        </w:rPr>
                        <w:fldChar w:fldCharType="end"/>
                      </w:r>
                      <w:r w:rsidRPr="002C5C16">
                        <w:rPr>
                          <w:sz w:val="23"/>
                          <w:szCs w:val="23"/>
                        </w:rPr>
                        <w:t xml:space="preserve"> INDICE DI CAPACITÀ AMMINISTRATIVA – AREA SERVIZI E CITTADINI (score medio: 31%)</w:t>
                      </w:r>
                      <w:bookmarkEnd w:id="2"/>
                    </w:p>
                  </w:txbxContent>
                </v:textbox>
                <w10:wrap type="topAndBottom" anchorx="margin"/>
              </v:shape>
            </w:pict>
          </mc:Fallback>
        </mc:AlternateContent>
      </w:r>
    </w:p>
    <w:p w14:paraId="70A7587F" w14:textId="77777777" w:rsidR="006C0A19" w:rsidRPr="006C0A19" w:rsidRDefault="006C0A19" w:rsidP="006C0A19">
      <w:pPr>
        <w:spacing w:after="200" w:line="312" w:lineRule="auto"/>
        <w:rPr>
          <w:rFonts w:ascii="Avenir Next LT Pro" w:eastAsia="MS Mincho" w:hAnsi="Avenir Next LT Pro" w:cs="Times New Roman"/>
          <w:sz w:val="20"/>
          <w:szCs w:val="20"/>
        </w:rPr>
      </w:pPr>
      <w:r w:rsidRPr="006C0A19">
        <w:rPr>
          <w:rFonts w:ascii="Avenir Next LT Pro" w:eastAsia="MS Mincho" w:hAnsi="Avenir Next LT Pro" w:cs="Times New Roman"/>
          <w:sz w:val="20"/>
          <w:szCs w:val="20"/>
        </w:rPr>
        <w:t>Fonte: Indice di Capacità Amministrativa 2021</w:t>
      </w:r>
    </w:p>
    <w:p w14:paraId="5EFAE896" w14:textId="77777777" w:rsidR="006C0A19" w:rsidRPr="006C0A19" w:rsidRDefault="006C0A19" w:rsidP="006C0A19">
      <w:pPr>
        <w:spacing w:after="200" w:line="276" w:lineRule="auto"/>
        <w:jc w:val="right"/>
        <w:rPr>
          <w:rFonts w:ascii="Avenir Next LT Pro" w:eastAsia="MS Mincho" w:hAnsi="Avenir Next LT Pro" w:cs="Times New Roman"/>
          <w:sz w:val="23"/>
        </w:rPr>
      </w:pPr>
      <w:r w:rsidRPr="006C0A19">
        <w:rPr>
          <w:rFonts w:ascii="Avenir Next LT Pro" w:eastAsia="MS Mincho" w:hAnsi="Avenir Next LT Pro" w:cs="Calibri"/>
          <w:noProof/>
          <w:sz w:val="20"/>
          <w:szCs w:val="20"/>
        </w:rPr>
        <w:drawing>
          <wp:inline distT="0" distB="0" distL="0" distR="0" wp14:anchorId="720D3B12" wp14:editId="00A0293D">
            <wp:extent cx="1401534" cy="1468120"/>
            <wp:effectExtent l="0" t="0" r="8255" b="0"/>
            <wp:docPr id="103" name="Immagine 103" descr="Immagine che contiene tavol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Immagine 89" descr="Immagine che contiene tavolo&#10;&#10;Descrizione generata automaticamente"/>
                    <pic:cNvPicPr/>
                  </pic:nvPicPr>
                  <pic:blipFill>
                    <a:blip r:embed="rId8"/>
                    <a:stretch>
                      <a:fillRect/>
                    </a:stretch>
                  </pic:blipFill>
                  <pic:spPr>
                    <a:xfrm>
                      <a:off x="0" y="0"/>
                      <a:ext cx="1406521" cy="1473344"/>
                    </a:xfrm>
                    <a:prstGeom prst="rect">
                      <a:avLst/>
                    </a:prstGeom>
                  </pic:spPr>
                </pic:pic>
              </a:graphicData>
            </a:graphic>
          </wp:inline>
        </w:drawing>
      </w:r>
    </w:p>
    <w:p w14:paraId="5AB9A46C" w14:textId="77777777" w:rsidR="006C0A19" w:rsidRPr="006C0A19" w:rsidRDefault="006C0A19" w:rsidP="006C0A19">
      <w:pPr>
        <w:spacing w:after="60" w:line="312" w:lineRule="auto"/>
        <w:jc w:val="both"/>
        <w:rPr>
          <w:rFonts w:ascii="Avenir Next LT Pro" w:eastAsia="Palatino Linotype" w:hAnsi="Avenir Next LT Pro" w:cs="Palatino Linotype"/>
          <w:sz w:val="23"/>
        </w:rPr>
      </w:pPr>
      <w:r w:rsidRPr="006C0A19">
        <w:rPr>
          <w:rFonts w:ascii="Avenir Next LT Pro" w:eastAsia="MS Mincho" w:hAnsi="Avenir Next LT Pro" w:cs="Times New Roman"/>
          <w:sz w:val="23"/>
        </w:rPr>
        <w:br w:type="page"/>
      </w:r>
      <w:r w:rsidRPr="006C0A19">
        <w:rPr>
          <w:rFonts w:ascii="Avenir Next LT Pro" w:eastAsia="Palatino Linotype" w:hAnsi="Avenir Next LT Pro" w:cs="Palatino Linotype"/>
          <w:sz w:val="23"/>
        </w:rPr>
        <w:lastRenderedPageBreak/>
        <w:t xml:space="preserve">Gli indicatori di questa area sono difficili da reperire. Da un lato, perché le iniziative di </w:t>
      </w:r>
      <w:proofErr w:type="spellStart"/>
      <w:r w:rsidRPr="006C0A19">
        <w:rPr>
          <w:rFonts w:ascii="Avenir Next LT Pro" w:eastAsia="Palatino Linotype" w:hAnsi="Avenir Next LT Pro" w:cs="Palatino Linotype"/>
          <w:i/>
          <w:iCs/>
          <w:sz w:val="23"/>
        </w:rPr>
        <w:t>civic</w:t>
      </w:r>
      <w:proofErr w:type="spellEnd"/>
      <w:r w:rsidRPr="006C0A19">
        <w:rPr>
          <w:rFonts w:ascii="Avenir Next LT Pro" w:eastAsia="Palatino Linotype" w:hAnsi="Avenir Next LT Pro" w:cs="Palatino Linotype"/>
          <w:i/>
          <w:iCs/>
          <w:sz w:val="23"/>
        </w:rPr>
        <w:t xml:space="preserve"> engagement</w:t>
      </w:r>
      <w:r w:rsidRPr="006C0A19">
        <w:rPr>
          <w:rFonts w:ascii="Avenir Next LT Pro" w:eastAsia="Palatino Linotype" w:hAnsi="Avenir Next LT Pro" w:cs="Palatino Linotype"/>
          <w:sz w:val="23"/>
        </w:rPr>
        <w:t xml:space="preserve"> non sono codificate e, quindi, risultano spesso non rintracciabili sul sito web dell’ente e, anche quando lo sono, non vengono rendicontate in modo completo. Dall’altro, perché le modifiche apportate al decreto trasparenza del 2013 dalla cosiddetta riforma Madia del 2016</w:t>
      </w:r>
      <w:r w:rsidRPr="006C0A19">
        <w:rPr>
          <w:rFonts w:ascii="Avenir Next LT Pro" w:eastAsia="Palatino Linotype" w:hAnsi="Avenir Next LT Pro" w:cs="Palatino Linotype"/>
          <w:sz w:val="23"/>
          <w:vertAlign w:val="superscript"/>
        </w:rPr>
        <w:footnoteReference w:id="1"/>
      </w:r>
      <w:r w:rsidRPr="006C0A19">
        <w:rPr>
          <w:rFonts w:ascii="Avenir Next LT Pro" w:eastAsia="Palatino Linotype" w:hAnsi="Avenir Next LT Pro" w:cs="Palatino Linotype"/>
          <w:sz w:val="23"/>
        </w:rPr>
        <w:t xml:space="preserve"> hanno cancellato alcuni obblighi di pubblicazione cruciali proprio per misurare l’efficienza dei servizi.</w:t>
      </w:r>
    </w:p>
    <w:p w14:paraId="1EE5AC96" w14:textId="77777777" w:rsidR="006C0A19" w:rsidRPr="006C0A19" w:rsidRDefault="006C0A19" w:rsidP="006C0A19">
      <w:pPr>
        <w:spacing w:after="60" w:line="312" w:lineRule="auto"/>
        <w:jc w:val="both"/>
        <w:rPr>
          <w:rFonts w:ascii="Avenir Next LT Pro" w:eastAsia="MS Mincho" w:hAnsi="Avenir Next LT Pro" w:cs="Times New Roman"/>
          <w:sz w:val="23"/>
        </w:rPr>
      </w:pPr>
      <w:r w:rsidRPr="006C0A19">
        <w:rPr>
          <w:rFonts w:ascii="Avenir Next LT Pro" w:eastAsia="MS Mincho" w:hAnsi="Avenir Next LT Pro" w:cs="Times New Roman"/>
          <w:sz w:val="23"/>
        </w:rPr>
        <w:t xml:space="preserve">I risultati dell’analisi vedono una polarizzazione tra i due estremi del </w:t>
      </w:r>
      <w:r w:rsidRPr="006C0A19">
        <w:rPr>
          <w:rFonts w:ascii="Avenir Next LT Pro" w:eastAsia="MS Mincho" w:hAnsi="Avenir Next LT Pro" w:cs="Times New Roman"/>
          <w:i/>
          <w:sz w:val="23"/>
        </w:rPr>
        <w:t>ranking</w:t>
      </w:r>
      <w:r w:rsidRPr="006C0A19">
        <w:rPr>
          <w:rFonts w:ascii="Avenir Next LT Pro" w:eastAsia="MS Mincho" w:hAnsi="Avenir Next LT Pro" w:cs="Times New Roman"/>
          <w:sz w:val="23"/>
        </w:rPr>
        <w:t>: quattro Unioni raggiungono le classi più alte di valutazione (</w:t>
      </w:r>
      <w:proofErr w:type="spellStart"/>
      <w:r w:rsidRPr="006C0A19">
        <w:rPr>
          <w:rFonts w:ascii="Avenir Next LT Pro" w:eastAsia="MS Mincho" w:hAnsi="Avenir Next LT Pro" w:cs="Times New Roman"/>
          <w:i/>
          <w:sz w:val="23"/>
        </w:rPr>
        <w:t>Excellent</w:t>
      </w:r>
      <w:proofErr w:type="spellEnd"/>
      <w:r w:rsidRPr="006C0A19">
        <w:rPr>
          <w:rFonts w:ascii="Avenir Next LT Pro" w:eastAsia="MS Mincho" w:hAnsi="Avenir Next LT Pro" w:cs="Times New Roman"/>
          <w:i/>
          <w:sz w:val="23"/>
        </w:rPr>
        <w:t xml:space="preserve"> </w:t>
      </w:r>
      <w:r w:rsidRPr="006C0A19">
        <w:rPr>
          <w:rFonts w:ascii="Avenir Next LT Pro" w:eastAsia="MS Mincho" w:hAnsi="Avenir Next LT Pro" w:cs="Times New Roman"/>
          <w:iCs/>
          <w:sz w:val="23"/>
        </w:rPr>
        <w:t>e</w:t>
      </w:r>
      <w:r w:rsidRPr="006C0A19">
        <w:rPr>
          <w:rFonts w:ascii="Avenir Next LT Pro" w:eastAsia="MS Mincho" w:hAnsi="Avenir Next LT Pro" w:cs="Times New Roman"/>
          <w:i/>
          <w:sz w:val="23"/>
        </w:rPr>
        <w:t xml:space="preserve"> </w:t>
      </w:r>
      <w:proofErr w:type="spellStart"/>
      <w:r w:rsidRPr="006C0A19">
        <w:rPr>
          <w:rFonts w:ascii="Avenir Next LT Pro" w:eastAsia="MS Mincho" w:hAnsi="Avenir Next LT Pro" w:cs="Times New Roman"/>
          <w:i/>
          <w:sz w:val="23"/>
        </w:rPr>
        <w:t>Very</w:t>
      </w:r>
      <w:proofErr w:type="spellEnd"/>
      <w:r w:rsidRPr="006C0A19">
        <w:rPr>
          <w:rFonts w:ascii="Avenir Next LT Pro" w:eastAsia="MS Mincho" w:hAnsi="Avenir Next LT Pro" w:cs="Times New Roman"/>
          <w:i/>
          <w:sz w:val="23"/>
        </w:rPr>
        <w:t xml:space="preserve"> Good</w:t>
      </w:r>
      <w:r w:rsidRPr="006C0A19">
        <w:rPr>
          <w:rFonts w:ascii="Avenir Next LT Pro" w:eastAsia="MS Mincho" w:hAnsi="Avenir Next LT Pro" w:cs="Times New Roman"/>
          <w:sz w:val="23"/>
        </w:rPr>
        <w:t>) e cinque la più bassa (</w:t>
      </w:r>
      <w:proofErr w:type="spellStart"/>
      <w:r w:rsidRPr="006C0A19">
        <w:rPr>
          <w:rFonts w:ascii="Avenir Next LT Pro" w:eastAsia="MS Mincho" w:hAnsi="Avenir Next LT Pro" w:cs="Times New Roman"/>
          <w:i/>
          <w:sz w:val="23"/>
        </w:rPr>
        <w:t>Fallible</w:t>
      </w:r>
      <w:proofErr w:type="spellEnd"/>
      <w:r w:rsidRPr="006C0A19">
        <w:rPr>
          <w:rFonts w:ascii="Avenir Next LT Pro" w:eastAsia="MS Mincho" w:hAnsi="Avenir Next LT Pro" w:cs="Times New Roman"/>
          <w:sz w:val="23"/>
        </w:rPr>
        <w:t>), mentre lo score medio si ferma a 29%, il più basso tra le cinque aree analizzate. Le Unioni con score zero sono quelle non valutabili per mancanza di informazioni disponibili.</w:t>
      </w:r>
    </w:p>
    <w:p w14:paraId="6C1AB8CD" w14:textId="77777777" w:rsidR="006C0A19" w:rsidRPr="006C0A19" w:rsidRDefault="006C0A19" w:rsidP="006C0A19">
      <w:pPr>
        <w:spacing w:after="60" w:line="312" w:lineRule="auto"/>
        <w:jc w:val="both"/>
        <w:rPr>
          <w:rFonts w:ascii="Avenir Next LT Pro" w:eastAsia="MS Mincho" w:hAnsi="Avenir Next LT Pro" w:cs="Times New Roman"/>
          <w:sz w:val="23"/>
        </w:rPr>
      </w:pPr>
      <w:r w:rsidRPr="006C0A19">
        <w:rPr>
          <w:rFonts w:ascii="Avenir Next LT Pro" w:eastAsia="MS Mincho" w:hAnsi="Avenir Next LT Pro" w:cs="Times New Roman"/>
          <w:sz w:val="23"/>
        </w:rPr>
        <w:t xml:space="preserve">L’Unione </w:t>
      </w:r>
      <w:r w:rsidRPr="006C0A19">
        <w:rPr>
          <w:rFonts w:ascii="Avenir Next LT Pro" w:eastAsia="MS Mincho" w:hAnsi="Avenir Next LT Pro" w:cs="Times New Roman"/>
          <w:i/>
          <w:sz w:val="23"/>
        </w:rPr>
        <w:t>benchmark</w:t>
      </w:r>
      <w:r w:rsidRPr="006C0A19">
        <w:rPr>
          <w:rFonts w:ascii="Avenir Next LT Pro" w:eastAsia="MS Mincho" w:hAnsi="Avenir Next LT Pro" w:cs="Times New Roman"/>
          <w:sz w:val="23"/>
        </w:rPr>
        <w:t xml:space="preserve"> è emiliana: Romagna Faentina, con score 90%. Le seguono con score 80% la Reno Galliera e la Valle del Savio, anch’esse in Emilia, e la Valdera, in Toscana.</w:t>
      </w:r>
    </w:p>
    <w:p w14:paraId="58308728" w14:textId="77777777" w:rsidR="006C0A19" w:rsidRPr="006C0A19" w:rsidRDefault="006C0A19" w:rsidP="006C0A19">
      <w:pPr>
        <w:spacing w:after="60" w:line="312" w:lineRule="auto"/>
        <w:jc w:val="both"/>
        <w:rPr>
          <w:rFonts w:ascii="Avenir Next LT Pro" w:eastAsia="MS Mincho" w:hAnsi="Avenir Next LT Pro" w:cs="Times New Roman"/>
          <w:sz w:val="23"/>
        </w:rPr>
      </w:pPr>
      <w:r w:rsidRPr="006C0A19">
        <w:rPr>
          <w:rFonts w:ascii="Avenir Next LT Pro" w:eastAsia="MS Mincho" w:hAnsi="Avenir Next LT Pro" w:cs="Times New Roman"/>
          <w:sz w:val="23"/>
        </w:rPr>
        <w:t xml:space="preserve">Sul fronte opposto del </w:t>
      </w:r>
      <w:r w:rsidRPr="006C0A19">
        <w:rPr>
          <w:rFonts w:ascii="Avenir Next LT Pro" w:eastAsia="MS Mincho" w:hAnsi="Avenir Next LT Pro" w:cs="Times New Roman"/>
          <w:i/>
          <w:sz w:val="23"/>
        </w:rPr>
        <w:t>ranking</w:t>
      </w:r>
      <w:r w:rsidRPr="006C0A19">
        <w:rPr>
          <w:rFonts w:ascii="Avenir Next LT Pro" w:eastAsia="MS Mincho" w:hAnsi="Avenir Next LT Pro" w:cs="Times New Roman"/>
          <w:sz w:val="23"/>
        </w:rPr>
        <w:t xml:space="preserve">, le cinque Unioni in </w:t>
      </w:r>
      <w:proofErr w:type="spellStart"/>
      <w:r w:rsidRPr="006C0A19">
        <w:rPr>
          <w:rFonts w:ascii="Avenir Next LT Pro" w:eastAsia="MS Mincho" w:hAnsi="Avenir Next LT Pro" w:cs="Times New Roman"/>
          <w:i/>
          <w:sz w:val="23"/>
        </w:rPr>
        <w:t>Fallible</w:t>
      </w:r>
      <w:proofErr w:type="spellEnd"/>
      <w:r w:rsidRPr="006C0A19">
        <w:rPr>
          <w:rFonts w:ascii="Avenir Next LT Pro" w:eastAsia="MS Mincho" w:hAnsi="Avenir Next LT Pro" w:cs="Times New Roman"/>
          <w:sz w:val="23"/>
        </w:rPr>
        <w:t xml:space="preserve"> di fermano a score bassissimi: da 2% a 10%. La spiegazione sta principalmente nel mancato aggiornamento del sito web, nella mancata pubblicazione o aggiornamento della Relazione della Performance, nella mancata pubblicazione del Registro degli accessi civici. </w:t>
      </w:r>
    </w:p>
    <w:p w14:paraId="58BDFEF1" w14:textId="77777777" w:rsidR="006C0A19" w:rsidRPr="006C0A19" w:rsidRDefault="006C0A19" w:rsidP="006C0A19">
      <w:pPr>
        <w:spacing w:after="200" w:line="276" w:lineRule="auto"/>
        <w:rPr>
          <w:rFonts w:ascii="Avenir Next LT Pro" w:eastAsia="MS Mincho" w:hAnsi="Avenir Next LT Pro" w:cs="Times New Roman"/>
          <w:sz w:val="23"/>
        </w:rPr>
      </w:pPr>
      <w:r w:rsidRPr="006C0A19">
        <w:rPr>
          <w:rFonts w:ascii="Avenir Next LT Pro" w:eastAsia="MS Mincho" w:hAnsi="Avenir Next LT Pro" w:cs="Times New Roman"/>
          <w:sz w:val="23"/>
        </w:rPr>
        <w:br w:type="page"/>
      </w:r>
    </w:p>
    <w:p w14:paraId="0BEA5598" w14:textId="77777777" w:rsidR="006C0A19" w:rsidRPr="006C0A19" w:rsidRDefault="006C0A19" w:rsidP="006C0A19">
      <w:pPr>
        <w:keepNext/>
        <w:keepLines/>
        <w:numPr>
          <w:ilvl w:val="2"/>
          <w:numId w:val="0"/>
        </w:numPr>
        <w:spacing w:after="240" w:line="288" w:lineRule="auto"/>
        <w:ind w:left="1440" w:hanging="720"/>
        <w:jc w:val="both"/>
        <w:outlineLvl w:val="2"/>
        <w:rPr>
          <w:rFonts w:ascii="Avenir Next LT Pro" w:eastAsia="MS Gothic" w:hAnsi="Avenir Next LT Pro" w:cs="Times New Roman"/>
          <w:b/>
          <w:color w:val="256D9D"/>
          <w:sz w:val="24"/>
          <w:szCs w:val="24"/>
        </w:rPr>
      </w:pPr>
      <w:bookmarkStart w:id="2" w:name="_Toc93168829"/>
      <w:r w:rsidRPr="006C0A19">
        <w:rPr>
          <w:rFonts w:ascii="Avenir Next LT Pro" w:eastAsia="MS Gothic" w:hAnsi="Avenir Next LT Pro" w:cs="Times New Roman"/>
          <w:b/>
          <w:color w:val="256D9D"/>
          <w:sz w:val="24"/>
          <w:szCs w:val="24"/>
        </w:rPr>
        <w:lastRenderedPageBreak/>
        <w:t>Indicatore di efficienza: numero di procedimenti e servizi</w:t>
      </w:r>
      <w:bookmarkEnd w:id="2"/>
    </w:p>
    <w:p w14:paraId="37E26D3B" w14:textId="77777777" w:rsidR="006C0A19" w:rsidRPr="006C0A19" w:rsidRDefault="006C0A19" w:rsidP="006C0A19">
      <w:pPr>
        <w:spacing w:after="60" w:line="312" w:lineRule="auto"/>
        <w:jc w:val="both"/>
        <w:rPr>
          <w:rFonts w:ascii="Avenir Next LT Pro" w:eastAsia="MS Mincho" w:hAnsi="Avenir Next LT Pro" w:cs="Times New Roman"/>
          <w:sz w:val="23"/>
        </w:rPr>
      </w:pPr>
      <w:r w:rsidRPr="006C0A19">
        <w:rPr>
          <w:rFonts w:ascii="Avenir Next LT Pro" w:eastAsia="MS Mincho" w:hAnsi="Avenir Next LT Pro" w:cs="Times New Roman"/>
          <w:sz w:val="23"/>
        </w:rPr>
        <w:t xml:space="preserve">L’indicatore </w:t>
      </w:r>
      <w:r w:rsidRPr="006C0A19">
        <w:rPr>
          <w:rFonts w:ascii="Avenir Next LT Pro" w:eastAsia="MS Mincho" w:hAnsi="Avenir Next LT Pro" w:cs="Times New Roman"/>
          <w:kern w:val="24"/>
          <w:sz w:val="24"/>
          <w:szCs w:val="24"/>
        </w:rPr>
        <w:t>numero di procedimenti e servizi</w:t>
      </w:r>
      <w:r w:rsidRPr="006C0A19">
        <w:rPr>
          <w:rFonts w:ascii="Avenir Next LT Pro" w:eastAsia="MS Mincho" w:hAnsi="Avenir Next LT Pro" w:cs="Times New Roman"/>
          <w:smallCaps/>
          <w:kern w:val="24"/>
          <w:sz w:val="24"/>
          <w:szCs w:val="24"/>
        </w:rPr>
        <w:t xml:space="preserve"> </w:t>
      </w:r>
      <w:r w:rsidRPr="006C0A19">
        <w:rPr>
          <w:rFonts w:ascii="Avenir Next LT Pro" w:eastAsia="MS Mincho" w:hAnsi="Avenir Next LT Pro" w:cs="Times New Roman"/>
          <w:sz w:val="23"/>
        </w:rPr>
        <w:t>verifica se l'ente pubblica il numero di procedimenti conclusi e di servizi erogati nell'anno, rilevando anche il grado di aggiornamento dell’informazione eventualmente pubblicata</w:t>
      </w:r>
      <w:r w:rsidRPr="006C0A19">
        <w:rPr>
          <w:rFonts w:ascii="Avenir Next LT Pro" w:eastAsia="MS Mincho" w:hAnsi="Avenir Next LT Pro" w:cs="Times New Roman"/>
          <w:sz w:val="23"/>
          <w:vertAlign w:val="superscript"/>
        </w:rPr>
        <w:footnoteReference w:id="2"/>
      </w:r>
      <w:r w:rsidRPr="006C0A19">
        <w:rPr>
          <w:rFonts w:ascii="Avenir Next LT Pro" w:eastAsia="MS Mincho" w:hAnsi="Avenir Next LT Pro" w:cs="Times New Roman"/>
          <w:sz w:val="23"/>
        </w:rPr>
        <w:t xml:space="preserve">. Si tratta, in altre parole, di un </w:t>
      </w:r>
      <w:r w:rsidRPr="006C0A19">
        <w:rPr>
          <w:rFonts w:ascii="Avenir Next LT Pro" w:eastAsia="MS Mincho" w:hAnsi="Avenir Next LT Pro" w:cs="Times New Roman"/>
          <w:b/>
          <w:bCs/>
          <w:sz w:val="23"/>
        </w:rPr>
        <w:t>indicatore di efficienza</w:t>
      </w:r>
      <w:r w:rsidRPr="006C0A19">
        <w:rPr>
          <w:rFonts w:ascii="Avenir Next LT Pro" w:eastAsia="MS Mincho" w:hAnsi="Avenir Next LT Pro" w:cs="Times New Roman"/>
          <w:sz w:val="23"/>
        </w:rPr>
        <w:t>, che potenzialmente dovrebbe misurare il numero di servizi erogati. Tuttavia, non essendo più un obbligo la pubblicazione nella sottosezione “Attività e procedimenti” della sezione Amministrazione Trasparente sui siti web degli enti, la fonte principale per le informazioni relative a questo indicatore è diventata la Relazione della Performance, che spesso risulta non esaustiva.</w:t>
      </w:r>
    </w:p>
    <w:p w14:paraId="04852F14" w14:textId="77777777" w:rsidR="006C0A19" w:rsidRPr="006C0A19" w:rsidRDefault="006C0A19" w:rsidP="006C0A19">
      <w:pPr>
        <w:spacing w:after="60" w:line="312" w:lineRule="auto"/>
        <w:jc w:val="both"/>
        <w:rPr>
          <w:rFonts w:ascii="Avenir Next LT Pro" w:eastAsia="Georgia" w:hAnsi="Avenir Next LT Pro" w:cs="Georgia"/>
          <w:sz w:val="23"/>
        </w:rPr>
      </w:pPr>
      <w:r w:rsidRPr="006C0A19">
        <w:rPr>
          <w:rFonts w:ascii="Avenir Next LT Pro" w:eastAsia="MS Mincho" w:hAnsi="Avenir Next LT Pro" w:cs="Times New Roman"/>
          <w:sz w:val="23"/>
        </w:rPr>
        <w:t>I risultati del campione nell’indicatore sono molto negativi, perché per diciotto Unioni su ventinove non è rinvenibile alcuna informazione, talora per l’</w:t>
      </w:r>
      <w:r w:rsidRPr="006C0A19">
        <w:rPr>
          <w:rFonts w:ascii="Avenir Next LT Pro" w:eastAsia="Georgia" w:hAnsi="Avenir Next LT Pro" w:cs="Georgia"/>
          <w:sz w:val="23"/>
        </w:rPr>
        <w:t xml:space="preserve">assenza della suddetta Relazione o per il mancato aggiornamento della stessa.  </w:t>
      </w:r>
    </w:p>
    <w:p w14:paraId="046BC00D" w14:textId="77777777" w:rsidR="006C0A19" w:rsidRPr="006C0A19" w:rsidRDefault="006C0A19" w:rsidP="006C0A19">
      <w:pPr>
        <w:spacing w:after="60" w:line="312" w:lineRule="auto"/>
        <w:jc w:val="both"/>
        <w:rPr>
          <w:rFonts w:ascii="Avenir Next LT Pro" w:eastAsia="MS Mincho" w:hAnsi="Avenir Next LT Pro" w:cs="Times New Roman"/>
          <w:sz w:val="23"/>
        </w:rPr>
      </w:pPr>
      <w:r w:rsidRPr="006C0A19">
        <w:rPr>
          <w:rFonts w:ascii="Avenir Next LT Pro" w:eastAsia="MS Mincho" w:hAnsi="Avenir Next LT Pro" w:cs="Times New Roman"/>
          <w:sz w:val="23"/>
        </w:rPr>
        <w:t xml:space="preserve">La tabella che segue riporta l’elenco delle Unioni più </w:t>
      </w:r>
      <w:proofErr w:type="spellStart"/>
      <w:r w:rsidRPr="006C0A19">
        <w:rPr>
          <w:rFonts w:ascii="Avenir Next LT Pro" w:eastAsia="MS Mincho" w:hAnsi="Avenir Next LT Pro" w:cs="Times New Roman"/>
          <w:i/>
          <w:iCs/>
          <w:sz w:val="23"/>
        </w:rPr>
        <w:t>accountable</w:t>
      </w:r>
      <w:proofErr w:type="spellEnd"/>
      <w:r w:rsidRPr="006C0A19">
        <w:rPr>
          <w:rFonts w:ascii="Avenir Next LT Pro" w:eastAsia="MS Mincho" w:hAnsi="Avenir Next LT Pro" w:cs="Times New Roman"/>
          <w:sz w:val="23"/>
        </w:rPr>
        <w:t>, che rendicontano le proprie attività: tra esse - non a caso - alcune con alto Indice di Capacità Amministrativa, quali, ad esempio, Valle del Savio e Romagna Faentina.</w:t>
      </w:r>
    </w:p>
    <w:p w14:paraId="34B36586" w14:textId="77777777" w:rsidR="006C0A19" w:rsidRPr="006C0A19" w:rsidRDefault="006C0A19" w:rsidP="006C0A19">
      <w:pPr>
        <w:spacing w:after="60" w:line="312" w:lineRule="auto"/>
        <w:jc w:val="both"/>
        <w:rPr>
          <w:rFonts w:ascii="Avenir Next LT Pro" w:eastAsia="MS Mincho" w:hAnsi="Avenir Next LT Pro" w:cs="Times New Roman"/>
          <w:sz w:val="23"/>
        </w:rPr>
      </w:pPr>
      <w:r w:rsidRPr="006C0A19">
        <w:rPr>
          <w:rFonts w:ascii="Avenir Next LT Pro" w:eastAsia="MS Mincho" w:hAnsi="Avenir Next LT Pro" w:cs="Times New Roman"/>
          <w:sz w:val="23"/>
        </w:rPr>
        <w:t>Va precisato, tuttavia, che anche per queste Unioni i dati utili a disposizione sono molto carenti, e ciò significa che non è possibile verificare se il numero dei procedimenti conclusi e dei servizi erogati nelle funzioni associate è aumentato oppure no. In altri termini, non è possibile stabilire se l’Unione è effettivamente servita a migliorare la performance dei Comuni associati nelle funzioni associate.</w:t>
      </w:r>
    </w:p>
    <w:p w14:paraId="614AA55D" w14:textId="77777777" w:rsidR="006C0A19" w:rsidRPr="006C0A19" w:rsidRDefault="006C0A19" w:rsidP="006C0A19">
      <w:pPr>
        <w:keepNext/>
        <w:spacing w:after="200" w:line="240" w:lineRule="auto"/>
        <w:jc w:val="both"/>
        <w:rPr>
          <w:rFonts w:ascii="Avenir Next LT Pro" w:eastAsia="MS Mincho" w:hAnsi="Avenir Next LT Pro" w:cs="Times New Roman"/>
          <w:i/>
          <w:iCs/>
          <w:color w:val="082A75"/>
          <w:sz w:val="23"/>
          <w:szCs w:val="23"/>
        </w:rPr>
      </w:pPr>
      <w:bookmarkStart w:id="3" w:name="_Toc93170929"/>
      <w:r w:rsidRPr="006C0A19">
        <w:rPr>
          <w:rFonts w:ascii="Avenir Next LT Pro" w:eastAsia="MS Mincho" w:hAnsi="Avenir Next LT Pro" w:cs="Times New Roman"/>
          <w:i/>
          <w:iCs/>
          <w:color w:val="082A75"/>
          <w:sz w:val="23"/>
          <w:szCs w:val="23"/>
        </w:rPr>
        <w:lastRenderedPageBreak/>
        <w:t xml:space="preserve">Tabella </w:t>
      </w:r>
      <w:r w:rsidRPr="006C0A19">
        <w:rPr>
          <w:rFonts w:ascii="Avenir Next LT Pro" w:eastAsia="MS Mincho" w:hAnsi="Avenir Next LT Pro" w:cs="Times New Roman"/>
          <w:i/>
          <w:iCs/>
          <w:color w:val="082A75"/>
          <w:sz w:val="23"/>
          <w:szCs w:val="23"/>
        </w:rPr>
        <w:fldChar w:fldCharType="begin"/>
      </w:r>
      <w:r w:rsidRPr="006C0A19">
        <w:rPr>
          <w:rFonts w:ascii="Avenir Next LT Pro" w:eastAsia="MS Mincho" w:hAnsi="Avenir Next LT Pro" w:cs="Times New Roman"/>
          <w:i/>
          <w:iCs/>
          <w:color w:val="082A75"/>
          <w:sz w:val="23"/>
          <w:szCs w:val="23"/>
        </w:rPr>
        <w:instrText xml:space="preserve"> SEQ Tabella \* ARABIC </w:instrText>
      </w:r>
      <w:r w:rsidRPr="006C0A19">
        <w:rPr>
          <w:rFonts w:ascii="Avenir Next LT Pro" w:eastAsia="MS Mincho" w:hAnsi="Avenir Next LT Pro" w:cs="Times New Roman"/>
          <w:i/>
          <w:iCs/>
          <w:color w:val="082A75"/>
          <w:sz w:val="23"/>
          <w:szCs w:val="23"/>
        </w:rPr>
        <w:fldChar w:fldCharType="separate"/>
      </w:r>
      <w:r w:rsidRPr="006C0A19">
        <w:rPr>
          <w:rFonts w:ascii="Avenir Next LT Pro" w:eastAsia="MS Mincho" w:hAnsi="Avenir Next LT Pro" w:cs="Times New Roman"/>
          <w:i/>
          <w:iCs/>
          <w:noProof/>
          <w:color w:val="082A75"/>
          <w:sz w:val="23"/>
          <w:szCs w:val="23"/>
        </w:rPr>
        <w:t>24</w:t>
      </w:r>
      <w:r w:rsidRPr="006C0A19">
        <w:rPr>
          <w:rFonts w:ascii="Avenir Next LT Pro" w:eastAsia="MS Mincho" w:hAnsi="Avenir Next LT Pro" w:cs="Times New Roman"/>
          <w:i/>
          <w:iCs/>
          <w:color w:val="082A75"/>
          <w:sz w:val="23"/>
          <w:szCs w:val="23"/>
        </w:rPr>
        <w:fldChar w:fldCharType="end"/>
      </w:r>
      <w:r w:rsidRPr="006C0A19">
        <w:rPr>
          <w:rFonts w:ascii="Avenir Next LT Pro" w:eastAsia="MS Mincho" w:hAnsi="Avenir Next LT Pro" w:cs="Times New Roman"/>
          <w:i/>
          <w:iCs/>
          <w:color w:val="082A75"/>
          <w:sz w:val="23"/>
          <w:szCs w:val="23"/>
        </w:rPr>
        <w:t xml:space="preserve"> INDICAZIONE DEL NUMERO DI PROCEDIMENTI CONCLUSI E DI SERVIZI EROGATI</w:t>
      </w:r>
      <w:bookmarkEnd w:id="3"/>
    </w:p>
    <w:tbl>
      <w:tblPr>
        <w:tblStyle w:val="Tabellagriglia4-colore21"/>
        <w:tblW w:w="8500" w:type="dxa"/>
        <w:jc w:val="center"/>
        <w:tblLook w:val="04A0" w:firstRow="1" w:lastRow="0" w:firstColumn="1" w:lastColumn="0" w:noHBand="0" w:noVBand="1"/>
      </w:tblPr>
      <w:tblGrid>
        <w:gridCol w:w="5098"/>
        <w:gridCol w:w="3402"/>
      </w:tblGrid>
      <w:tr w:rsidR="006C0A19" w:rsidRPr="006C0A19" w14:paraId="4121B104" w14:textId="77777777" w:rsidTr="006C0A19">
        <w:trPr>
          <w:cnfStyle w:val="100000000000" w:firstRow="1" w:lastRow="0" w:firstColumn="0" w:lastColumn="0" w:oddVBand="0" w:evenVBand="0" w:oddHBand="0" w:evenHBand="0" w:firstRowFirstColumn="0" w:firstRowLastColumn="0" w:lastRowFirstColumn="0" w:lastRowLastColumn="0"/>
          <w:trHeight w:val="638"/>
          <w:jc w:val="center"/>
        </w:trPr>
        <w:tc>
          <w:tcPr>
            <w:cnfStyle w:val="001000000000" w:firstRow="0" w:lastRow="0" w:firstColumn="1" w:lastColumn="0" w:oddVBand="0" w:evenVBand="0" w:oddHBand="0" w:evenHBand="0" w:firstRowFirstColumn="0" w:firstRowLastColumn="0" w:lastRowFirstColumn="0" w:lastRowLastColumn="0"/>
            <w:tcW w:w="5098" w:type="dxa"/>
            <w:vAlign w:val="center"/>
            <w:hideMark/>
          </w:tcPr>
          <w:p w14:paraId="07B6B8E8" w14:textId="77777777" w:rsidR="006C0A19" w:rsidRPr="006C0A19" w:rsidRDefault="006C0A19" w:rsidP="006C0A19">
            <w:pPr>
              <w:keepNext/>
              <w:keepLines/>
              <w:jc w:val="center"/>
              <w:rPr>
                <w:rFonts w:ascii="Avenir Next LT Pro" w:eastAsia="Times New Roman" w:hAnsi="Avenir Next LT Pro" w:cs="Calibri"/>
                <w:lang w:eastAsia="it-IT"/>
              </w:rPr>
            </w:pPr>
            <w:r w:rsidRPr="006C0A19">
              <w:rPr>
                <w:rFonts w:ascii="Avenir Next LT Pro" w:eastAsia="Times New Roman" w:hAnsi="Avenir Next LT Pro" w:cs="Calibri"/>
                <w:lang w:eastAsia="it-IT"/>
              </w:rPr>
              <w:t>Unione</w:t>
            </w:r>
          </w:p>
        </w:tc>
        <w:tc>
          <w:tcPr>
            <w:tcW w:w="3402" w:type="dxa"/>
            <w:noWrap/>
            <w:vAlign w:val="center"/>
            <w:hideMark/>
          </w:tcPr>
          <w:p w14:paraId="07E040C6" w14:textId="77777777" w:rsidR="006C0A19" w:rsidRPr="006C0A19" w:rsidRDefault="006C0A19" w:rsidP="006C0A19">
            <w:pPr>
              <w:keepNext/>
              <w:keepLines/>
              <w:jc w:val="center"/>
              <w:cnfStyle w:val="100000000000" w:firstRow="1" w:lastRow="0" w:firstColumn="0" w:lastColumn="0" w:oddVBand="0" w:evenVBand="0" w:oddHBand="0" w:evenHBand="0" w:firstRowFirstColumn="0" w:firstRowLastColumn="0" w:lastRowFirstColumn="0" w:lastRowLastColumn="0"/>
              <w:rPr>
                <w:rFonts w:ascii="Avenir Next LT Pro" w:eastAsia="Times New Roman" w:hAnsi="Avenir Next LT Pro" w:cs="Calibri"/>
                <w:lang w:eastAsia="it-IT"/>
              </w:rPr>
            </w:pPr>
            <w:r w:rsidRPr="006C0A19">
              <w:rPr>
                <w:rFonts w:ascii="Avenir Next LT Pro" w:eastAsia="Times New Roman" w:hAnsi="Avenir Next LT Pro" w:cs="Calibri"/>
                <w:lang w:eastAsia="it-IT"/>
              </w:rPr>
              <w:t>Esito</w:t>
            </w:r>
          </w:p>
        </w:tc>
      </w:tr>
      <w:tr w:rsidR="006C0A19" w:rsidRPr="006C0A19" w14:paraId="2A243848" w14:textId="77777777" w:rsidTr="006C0A19">
        <w:trPr>
          <w:cnfStyle w:val="000000100000" w:firstRow="0" w:lastRow="0" w:firstColumn="0" w:lastColumn="0" w:oddVBand="0" w:evenVBand="0" w:oddHBand="1" w:evenHBand="0" w:firstRowFirstColumn="0" w:firstRowLastColumn="0" w:lastRowFirstColumn="0" w:lastRowLastColumn="0"/>
          <w:trHeight w:val="324"/>
          <w:jc w:val="center"/>
        </w:trPr>
        <w:tc>
          <w:tcPr>
            <w:cnfStyle w:val="001000000000" w:firstRow="0" w:lastRow="0" w:firstColumn="1" w:lastColumn="0" w:oddVBand="0" w:evenVBand="0" w:oddHBand="0" w:evenHBand="0" w:firstRowFirstColumn="0" w:firstRowLastColumn="0" w:lastRowFirstColumn="0" w:lastRowLastColumn="0"/>
            <w:tcW w:w="5098" w:type="dxa"/>
            <w:noWrap/>
            <w:vAlign w:val="center"/>
            <w:hideMark/>
          </w:tcPr>
          <w:p w14:paraId="4490AC10" w14:textId="77777777" w:rsidR="006C0A19" w:rsidRPr="006C0A19" w:rsidRDefault="006C0A19" w:rsidP="006C0A19">
            <w:pPr>
              <w:keepNext/>
              <w:keepLines/>
              <w:rPr>
                <w:rFonts w:ascii="Avenir Next LT Pro" w:eastAsia="Times New Roman" w:hAnsi="Avenir Next LT Pro" w:cs="Calibri"/>
                <w:color w:val="000000"/>
                <w:lang w:eastAsia="it-IT"/>
              </w:rPr>
            </w:pPr>
            <w:r w:rsidRPr="006C0A19">
              <w:rPr>
                <w:rFonts w:ascii="Avenir Next LT Pro" w:eastAsia="Times New Roman" w:hAnsi="Avenir Next LT Pro" w:cs="Calibri"/>
                <w:color w:val="000000"/>
                <w:lang w:eastAsia="it-IT"/>
              </w:rPr>
              <w:t>U Valdera</w:t>
            </w:r>
          </w:p>
        </w:tc>
        <w:tc>
          <w:tcPr>
            <w:tcW w:w="3402" w:type="dxa"/>
            <w:noWrap/>
            <w:vAlign w:val="center"/>
            <w:hideMark/>
          </w:tcPr>
          <w:p w14:paraId="7D25B1D5" w14:textId="77777777" w:rsidR="006C0A19" w:rsidRPr="006C0A19" w:rsidRDefault="006C0A19" w:rsidP="006C0A19">
            <w:pPr>
              <w:keepNext/>
              <w:keepLines/>
              <w:cnfStyle w:val="000000100000" w:firstRow="0" w:lastRow="0" w:firstColumn="0" w:lastColumn="0" w:oddVBand="0" w:evenVBand="0" w:oddHBand="1" w:evenHBand="0" w:firstRowFirstColumn="0" w:firstRowLastColumn="0" w:lastRowFirstColumn="0" w:lastRowLastColumn="0"/>
              <w:rPr>
                <w:rFonts w:ascii="Avenir Next LT Pro" w:eastAsia="Times New Roman" w:hAnsi="Avenir Next LT Pro" w:cs="Calibri"/>
                <w:color w:val="000000"/>
                <w:lang w:eastAsia="it-IT"/>
              </w:rPr>
            </w:pPr>
            <w:r w:rsidRPr="006C0A19">
              <w:rPr>
                <w:rFonts w:ascii="Avenir Next LT Pro" w:eastAsia="Times New Roman" w:hAnsi="Avenir Next LT Pro" w:cs="Calibri"/>
                <w:color w:val="000000"/>
                <w:lang w:eastAsia="it-IT"/>
              </w:rPr>
              <w:t>Pubblicata, aggiornata</w:t>
            </w:r>
          </w:p>
        </w:tc>
      </w:tr>
      <w:tr w:rsidR="006C0A19" w:rsidRPr="006C0A19" w14:paraId="74FAE796" w14:textId="77777777" w:rsidTr="002D0D86">
        <w:trPr>
          <w:trHeight w:val="324"/>
          <w:jc w:val="center"/>
        </w:trPr>
        <w:tc>
          <w:tcPr>
            <w:cnfStyle w:val="001000000000" w:firstRow="0" w:lastRow="0" w:firstColumn="1" w:lastColumn="0" w:oddVBand="0" w:evenVBand="0" w:oddHBand="0" w:evenHBand="0" w:firstRowFirstColumn="0" w:firstRowLastColumn="0" w:lastRowFirstColumn="0" w:lastRowLastColumn="0"/>
            <w:tcW w:w="5098" w:type="dxa"/>
            <w:noWrap/>
            <w:vAlign w:val="center"/>
            <w:hideMark/>
          </w:tcPr>
          <w:p w14:paraId="4A8FFE65" w14:textId="77777777" w:rsidR="006C0A19" w:rsidRPr="006C0A19" w:rsidRDefault="006C0A19" w:rsidP="006C0A19">
            <w:pPr>
              <w:keepNext/>
              <w:keepLines/>
              <w:rPr>
                <w:rFonts w:ascii="Avenir Next LT Pro" w:eastAsia="Times New Roman" w:hAnsi="Avenir Next LT Pro" w:cs="Calibri"/>
                <w:color w:val="000000"/>
                <w:lang w:eastAsia="it-IT"/>
              </w:rPr>
            </w:pPr>
            <w:r w:rsidRPr="006C0A19">
              <w:rPr>
                <w:rFonts w:ascii="Avenir Next LT Pro" w:eastAsia="Times New Roman" w:hAnsi="Avenir Next LT Pro" w:cs="Calibri"/>
                <w:color w:val="000000"/>
                <w:lang w:eastAsia="it-IT"/>
              </w:rPr>
              <w:t>UT Intercomunale Collio-Alto Isonzo</w:t>
            </w:r>
          </w:p>
        </w:tc>
        <w:tc>
          <w:tcPr>
            <w:tcW w:w="3402" w:type="dxa"/>
            <w:noWrap/>
            <w:vAlign w:val="center"/>
            <w:hideMark/>
          </w:tcPr>
          <w:p w14:paraId="111F332C" w14:textId="77777777" w:rsidR="006C0A19" w:rsidRPr="006C0A19" w:rsidRDefault="006C0A19" w:rsidP="006C0A19">
            <w:pPr>
              <w:keepNext/>
              <w:keepLines/>
              <w:cnfStyle w:val="000000000000" w:firstRow="0" w:lastRow="0" w:firstColumn="0" w:lastColumn="0" w:oddVBand="0" w:evenVBand="0" w:oddHBand="0" w:evenHBand="0" w:firstRowFirstColumn="0" w:firstRowLastColumn="0" w:lastRowFirstColumn="0" w:lastRowLastColumn="0"/>
              <w:rPr>
                <w:rFonts w:ascii="Avenir Next LT Pro" w:eastAsia="Times New Roman" w:hAnsi="Avenir Next LT Pro" w:cs="Calibri"/>
                <w:color w:val="000000"/>
                <w:lang w:eastAsia="it-IT"/>
              </w:rPr>
            </w:pPr>
            <w:r w:rsidRPr="006C0A19">
              <w:rPr>
                <w:rFonts w:ascii="Avenir Next LT Pro" w:eastAsia="Times New Roman" w:hAnsi="Avenir Next LT Pro" w:cs="Calibri"/>
                <w:color w:val="000000"/>
                <w:lang w:eastAsia="it-IT"/>
              </w:rPr>
              <w:t>Pubblicata, aggiornata</w:t>
            </w:r>
          </w:p>
        </w:tc>
      </w:tr>
      <w:tr w:rsidR="006C0A19" w:rsidRPr="006C0A19" w14:paraId="34D1E116" w14:textId="77777777" w:rsidTr="006C0A19">
        <w:trPr>
          <w:cnfStyle w:val="000000100000" w:firstRow="0" w:lastRow="0" w:firstColumn="0" w:lastColumn="0" w:oddVBand="0" w:evenVBand="0" w:oddHBand="1" w:evenHBand="0" w:firstRowFirstColumn="0" w:firstRowLastColumn="0" w:lastRowFirstColumn="0" w:lastRowLastColumn="0"/>
          <w:trHeight w:val="324"/>
          <w:jc w:val="center"/>
        </w:trPr>
        <w:tc>
          <w:tcPr>
            <w:cnfStyle w:val="001000000000" w:firstRow="0" w:lastRow="0" w:firstColumn="1" w:lastColumn="0" w:oddVBand="0" w:evenVBand="0" w:oddHBand="0" w:evenHBand="0" w:firstRowFirstColumn="0" w:firstRowLastColumn="0" w:lastRowFirstColumn="0" w:lastRowLastColumn="0"/>
            <w:tcW w:w="5098" w:type="dxa"/>
            <w:noWrap/>
            <w:vAlign w:val="center"/>
            <w:hideMark/>
          </w:tcPr>
          <w:p w14:paraId="58936611" w14:textId="77777777" w:rsidR="006C0A19" w:rsidRPr="006C0A19" w:rsidRDefault="006C0A19" w:rsidP="006C0A19">
            <w:pPr>
              <w:keepNext/>
              <w:keepLines/>
              <w:rPr>
                <w:rFonts w:ascii="Avenir Next LT Pro" w:eastAsia="Times New Roman" w:hAnsi="Avenir Next LT Pro" w:cs="Calibri"/>
                <w:color w:val="000000"/>
                <w:lang w:eastAsia="it-IT"/>
              </w:rPr>
            </w:pPr>
            <w:r w:rsidRPr="006C0A19">
              <w:rPr>
                <w:rFonts w:ascii="Avenir Next LT Pro" w:eastAsia="Times New Roman" w:hAnsi="Avenir Next LT Pro" w:cs="Calibri"/>
                <w:color w:val="000000"/>
                <w:lang w:eastAsia="it-IT"/>
              </w:rPr>
              <w:t>U Reno Galliera</w:t>
            </w:r>
          </w:p>
        </w:tc>
        <w:tc>
          <w:tcPr>
            <w:tcW w:w="3402" w:type="dxa"/>
            <w:noWrap/>
            <w:vAlign w:val="center"/>
            <w:hideMark/>
          </w:tcPr>
          <w:p w14:paraId="29BF8EB1" w14:textId="77777777" w:rsidR="006C0A19" w:rsidRPr="006C0A19" w:rsidRDefault="006C0A19" w:rsidP="006C0A19">
            <w:pPr>
              <w:keepNext/>
              <w:keepLines/>
              <w:cnfStyle w:val="000000100000" w:firstRow="0" w:lastRow="0" w:firstColumn="0" w:lastColumn="0" w:oddVBand="0" w:evenVBand="0" w:oddHBand="1" w:evenHBand="0" w:firstRowFirstColumn="0" w:firstRowLastColumn="0" w:lastRowFirstColumn="0" w:lastRowLastColumn="0"/>
              <w:rPr>
                <w:rFonts w:ascii="Avenir Next LT Pro" w:eastAsia="Times New Roman" w:hAnsi="Avenir Next LT Pro" w:cs="Calibri"/>
                <w:color w:val="000000"/>
                <w:lang w:eastAsia="it-IT"/>
              </w:rPr>
            </w:pPr>
            <w:r w:rsidRPr="006C0A19">
              <w:rPr>
                <w:rFonts w:ascii="Avenir Next LT Pro" w:eastAsia="Times New Roman" w:hAnsi="Avenir Next LT Pro" w:cs="Calibri"/>
                <w:color w:val="000000"/>
                <w:lang w:eastAsia="it-IT"/>
              </w:rPr>
              <w:t>Pubblicata, aggiornata</w:t>
            </w:r>
          </w:p>
        </w:tc>
      </w:tr>
      <w:tr w:rsidR="006C0A19" w:rsidRPr="006C0A19" w14:paraId="577B2153" w14:textId="77777777" w:rsidTr="002D0D86">
        <w:trPr>
          <w:trHeight w:val="324"/>
          <w:jc w:val="center"/>
        </w:trPr>
        <w:tc>
          <w:tcPr>
            <w:cnfStyle w:val="001000000000" w:firstRow="0" w:lastRow="0" w:firstColumn="1" w:lastColumn="0" w:oddVBand="0" w:evenVBand="0" w:oddHBand="0" w:evenHBand="0" w:firstRowFirstColumn="0" w:firstRowLastColumn="0" w:lastRowFirstColumn="0" w:lastRowLastColumn="0"/>
            <w:tcW w:w="5098" w:type="dxa"/>
            <w:noWrap/>
            <w:vAlign w:val="center"/>
            <w:hideMark/>
          </w:tcPr>
          <w:p w14:paraId="72B4D916" w14:textId="77777777" w:rsidR="006C0A19" w:rsidRPr="006C0A19" w:rsidRDefault="006C0A19" w:rsidP="006C0A19">
            <w:pPr>
              <w:keepNext/>
              <w:keepLines/>
              <w:rPr>
                <w:rFonts w:ascii="Avenir Next LT Pro" w:eastAsia="Times New Roman" w:hAnsi="Avenir Next LT Pro" w:cs="Calibri"/>
                <w:color w:val="000000"/>
                <w:lang w:eastAsia="it-IT"/>
              </w:rPr>
            </w:pPr>
            <w:r w:rsidRPr="006C0A19">
              <w:rPr>
                <w:rFonts w:ascii="Avenir Next LT Pro" w:eastAsia="Times New Roman" w:hAnsi="Avenir Next LT Pro" w:cs="Calibri"/>
                <w:color w:val="000000"/>
                <w:lang w:eastAsia="it-IT"/>
              </w:rPr>
              <w:t>UM Potenza Esino Musone</w:t>
            </w:r>
          </w:p>
        </w:tc>
        <w:tc>
          <w:tcPr>
            <w:tcW w:w="3402" w:type="dxa"/>
            <w:noWrap/>
            <w:vAlign w:val="center"/>
            <w:hideMark/>
          </w:tcPr>
          <w:p w14:paraId="1EF927DE" w14:textId="77777777" w:rsidR="006C0A19" w:rsidRPr="006C0A19" w:rsidRDefault="006C0A19" w:rsidP="006C0A19">
            <w:pPr>
              <w:keepNext/>
              <w:keepLines/>
              <w:cnfStyle w:val="000000000000" w:firstRow="0" w:lastRow="0" w:firstColumn="0" w:lastColumn="0" w:oddVBand="0" w:evenVBand="0" w:oddHBand="0" w:evenHBand="0" w:firstRowFirstColumn="0" w:firstRowLastColumn="0" w:lastRowFirstColumn="0" w:lastRowLastColumn="0"/>
              <w:rPr>
                <w:rFonts w:ascii="Avenir Next LT Pro" w:eastAsia="Times New Roman" w:hAnsi="Avenir Next LT Pro" w:cs="Calibri"/>
                <w:color w:val="000000"/>
                <w:lang w:eastAsia="it-IT"/>
              </w:rPr>
            </w:pPr>
            <w:r w:rsidRPr="006C0A19">
              <w:rPr>
                <w:rFonts w:ascii="Avenir Next LT Pro" w:eastAsia="Times New Roman" w:hAnsi="Avenir Next LT Pro" w:cs="Calibri"/>
                <w:color w:val="000000"/>
                <w:lang w:eastAsia="it-IT"/>
              </w:rPr>
              <w:t>Pubblicata, aggiornata</w:t>
            </w:r>
          </w:p>
        </w:tc>
      </w:tr>
      <w:tr w:rsidR="006C0A19" w:rsidRPr="006C0A19" w14:paraId="633E665B" w14:textId="77777777" w:rsidTr="006C0A19">
        <w:trPr>
          <w:cnfStyle w:val="000000100000" w:firstRow="0" w:lastRow="0" w:firstColumn="0" w:lastColumn="0" w:oddVBand="0" w:evenVBand="0" w:oddHBand="1" w:evenHBand="0" w:firstRowFirstColumn="0" w:firstRowLastColumn="0" w:lastRowFirstColumn="0" w:lastRowLastColumn="0"/>
          <w:trHeight w:val="324"/>
          <w:jc w:val="center"/>
        </w:trPr>
        <w:tc>
          <w:tcPr>
            <w:cnfStyle w:val="001000000000" w:firstRow="0" w:lastRow="0" w:firstColumn="1" w:lastColumn="0" w:oddVBand="0" w:evenVBand="0" w:oddHBand="0" w:evenHBand="0" w:firstRowFirstColumn="0" w:firstRowLastColumn="0" w:lastRowFirstColumn="0" w:lastRowLastColumn="0"/>
            <w:tcW w:w="5098" w:type="dxa"/>
            <w:noWrap/>
            <w:vAlign w:val="center"/>
            <w:hideMark/>
          </w:tcPr>
          <w:p w14:paraId="29BA5767" w14:textId="77777777" w:rsidR="006C0A19" w:rsidRPr="006C0A19" w:rsidRDefault="006C0A19" w:rsidP="006C0A19">
            <w:pPr>
              <w:keepNext/>
              <w:keepLines/>
              <w:rPr>
                <w:rFonts w:ascii="Avenir Next LT Pro" w:eastAsia="Times New Roman" w:hAnsi="Avenir Next LT Pro" w:cs="Calibri"/>
                <w:color w:val="000000"/>
                <w:lang w:eastAsia="it-IT"/>
              </w:rPr>
            </w:pPr>
            <w:r w:rsidRPr="006C0A19">
              <w:rPr>
                <w:rFonts w:ascii="Avenir Next LT Pro" w:eastAsia="Times New Roman" w:hAnsi="Avenir Next LT Pro" w:cs="Calibri"/>
                <w:color w:val="000000"/>
                <w:lang w:eastAsia="it-IT"/>
              </w:rPr>
              <w:t>UC Montani Appennino Pistoiese</w:t>
            </w:r>
          </w:p>
        </w:tc>
        <w:tc>
          <w:tcPr>
            <w:tcW w:w="3402" w:type="dxa"/>
            <w:noWrap/>
            <w:vAlign w:val="center"/>
            <w:hideMark/>
          </w:tcPr>
          <w:p w14:paraId="6CB7D39F" w14:textId="77777777" w:rsidR="006C0A19" w:rsidRPr="006C0A19" w:rsidRDefault="006C0A19" w:rsidP="006C0A19">
            <w:pPr>
              <w:keepNext/>
              <w:keepLines/>
              <w:cnfStyle w:val="000000100000" w:firstRow="0" w:lastRow="0" w:firstColumn="0" w:lastColumn="0" w:oddVBand="0" w:evenVBand="0" w:oddHBand="1" w:evenHBand="0" w:firstRowFirstColumn="0" w:firstRowLastColumn="0" w:lastRowFirstColumn="0" w:lastRowLastColumn="0"/>
              <w:rPr>
                <w:rFonts w:ascii="Avenir Next LT Pro" w:eastAsia="Times New Roman" w:hAnsi="Avenir Next LT Pro" w:cs="Calibri"/>
                <w:color w:val="000000"/>
                <w:lang w:eastAsia="it-IT"/>
              </w:rPr>
            </w:pPr>
            <w:r w:rsidRPr="006C0A19">
              <w:rPr>
                <w:rFonts w:ascii="Avenir Next LT Pro" w:eastAsia="Times New Roman" w:hAnsi="Avenir Next LT Pro" w:cs="Calibri"/>
                <w:color w:val="000000"/>
                <w:lang w:eastAsia="it-IT"/>
              </w:rPr>
              <w:t>Pubblicata, aggiornata</w:t>
            </w:r>
          </w:p>
        </w:tc>
      </w:tr>
      <w:tr w:rsidR="006C0A19" w:rsidRPr="006C0A19" w14:paraId="791172CF" w14:textId="77777777" w:rsidTr="002D0D86">
        <w:trPr>
          <w:trHeight w:val="324"/>
          <w:jc w:val="center"/>
        </w:trPr>
        <w:tc>
          <w:tcPr>
            <w:cnfStyle w:val="001000000000" w:firstRow="0" w:lastRow="0" w:firstColumn="1" w:lastColumn="0" w:oddVBand="0" w:evenVBand="0" w:oddHBand="0" w:evenHBand="0" w:firstRowFirstColumn="0" w:firstRowLastColumn="0" w:lastRowFirstColumn="0" w:lastRowLastColumn="0"/>
            <w:tcW w:w="5098" w:type="dxa"/>
            <w:noWrap/>
            <w:vAlign w:val="center"/>
            <w:hideMark/>
          </w:tcPr>
          <w:p w14:paraId="6BE9AAF7" w14:textId="77777777" w:rsidR="006C0A19" w:rsidRPr="006C0A19" w:rsidRDefault="006C0A19" w:rsidP="006C0A19">
            <w:pPr>
              <w:keepNext/>
              <w:keepLines/>
              <w:rPr>
                <w:rFonts w:ascii="Avenir Next LT Pro" w:eastAsia="Times New Roman" w:hAnsi="Avenir Next LT Pro" w:cs="Calibri"/>
                <w:color w:val="000000"/>
                <w:lang w:eastAsia="it-IT"/>
              </w:rPr>
            </w:pPr>
            <w:r w:rsidRPr="006C0A19">
              <w:rPr>
                <w:rFonts w:ascii="Avenir Next LT Pro" w:eastAsia="Times New Roman" w:hAnsi="Avenir Next LT Pro" w:cs="Calibri"/>
                <w:color w:val="000000"/>
                <w:lang w:eastAsia="it-IT"/>
              </w:rPr>
              <w:t>U Romagna Faentina</w:t>
            </w:r>
          </w:p>
        </w:tc>
        <w:tc>
          <w:tcPr>
            <w:tcW w:w="3402" w:type="dxa"/>
            <w:noWrap/>
            <w:vAlign w:val="center"/>
            <w:hideMark/>
          </w:tcPr>
          <w:p w14:paraId="7E50B3DF" w14:textId="77777777" w:rsidR="006C0A19" w:rsidRPr="006C0A19" w:rsidRDefault="006C0A19" w:rsidP="006C0A19">
            <w:pPr>
              <w:keepNext/>
              <w:keepLines/>
              <w:cnfStyle w:val="000000000000" w:firstRow="0" w:lastRow="0" w:firstColumn="0" w:lastColumn="0" w:oddVBand="0" w:evenVBand="0" w:oddHBand="0" w:evenHBand="0" w:firstRowFirstColumn="0" w:firstRowLastColumn="0" w:lastRowFirstColumn="0" w:lastRowLastColumn="0"/>
              <w:rPr>
                <w:rFonts w:ascii="Avenir Next LT Pro" w:eastAsia="Times New Roman" w:hAnsi="Avenir Next LT Pro" w:cs="Calibri"/>
                <w:color w:val="000000"/>
                <w:lang w:eastAsia="it-IT"/>
              </w:rPr>
            </w:pPr>
            <w:r w:rsidRPr="006C0A19">
              <w:rPr>
                <w:rFonts w:ascii="Avenir Next LT Pro" w:eastAsia="Times New Roman" w:hAnsi="Avenir Next LT Pro" w:cs="Calibri"/>
                <w:color w:val="000000"/>
                <w:lang w:eastAsia="it-IT"/>
              </w:rPr>
              <w:t>Pubblicata, aggiornata</w:t>
            </w:r>
          </w:p>
        </w:tc>
      </w:tr>
      <w:tr w:rsidR="006C0A19" w:rsidRPr="006C0A19" w14:paraId="14C03A10" w14:textId="77777777" w:rsidTr="006C0A19">
        <w:trPr>
          <w:cnfStyle w:val="000000100000" w:firstRow="0" w:lastRow="0" w:firstColumn="0" w:lastColumn="0" w:oddVBand="0" w:evenVBand="0" w:oddHBand="1" w:evenHBand="0" w:firstRowFirstColumn="0" w:firstRowLastColumn="0" w:lastRowFirstColumn="0" w:lastRowLastColumn="0"/>
          <w:trHeight w:val="324"/>
          <w:jc w:val="center"/>
        </w:trPr>
        <w:tc>
          <w:tcPr>
            <w:cnfStyle w:val="001000000000" w:firstRow="0" w:lastRow="0" w:firstColumn="1" w:lastColumn="0" w:oddVBand="0" w:evenVBand="0" w:oddHBand="0" w:evenHBand="0" w:firstRowFirstColumn="0" w:firstRowLastColumn="0" w:lastRowFirstColumn="0" w:lastRowLastColumn="0"/>
            <w:tcW w:w="5098" w:type="dxa"/>
            <w:noWrap/>
            <w:vAlign w:val="center"/>
            <w:hideMark/>
          </w:tcPr>
          <w:p w14:paraId="2D6E78B2" w14:textId="77777777" w:rsidR="006C0A19" w:rsidRPr="006C0A19" w:rsidRDefault="006C0A19" w:rsidP="006C0A19">
            <w:pPr>
              <w:keepNext/>
              <w:keepLines/>
              <w:rPr>
                <w:rFonts w:ascii="Avenir Next LT Pro" w:eastAsia="Times New Roman" w:hAnsi="Avenir Next LT Pro" w:cs="Calibri"/>
                <w:color w:val="000000"/>
                <w:lang w:eastAsia="it-IT"/>
              </w:rPr>
            </w:pPr>
            <w:r w:rsidRPr="006C0A19">
              <w:rPr>
                <w:rFonts w:ascii="Avenir Next LT Pro" w:eastAsia="Times New Roman" w:hAnsi="Avenir Next LT Pro" w:cs="Calibri"/>
                <w:color w:val="000000"/>
                <w:lang w:eastAsia="it-IT"/>
              </w:rPr>
              <w:t>UC Valle del Savio</w:t>
            </w:r>
          </w:p>
        </w:tc>
        <w:tc>
          <w:tcPr>
            <w:tcW w:w="3402" w:type="dxa"/>
            <w:noWrap/>
            <w:vAlign w:val="center"/>
            <w:hideMark/>
          </w:tcPr>
          <w:p w14:paraId="02190422" w14:textId="77777777" w:rsidR="006C0A19" w:rsidRPr="006C0A19" w:rsidRDefault="006C0A19" w:rsidP="006C0A19">
            <w:pPr>
              <w:keepNext/>
              <w:keepLines/>
              <w:cnfStyle w:val="000000100000" w:firstRow="0" w:lastRow="0" w:firstColumn="0" w:lastColumn="0" w:oddVBand="0" w:evenVBand="0" w:oddHBand="1" w:evenHBand="0" w:firstRowFirstColumn="0" w:firstRowLastColumn="0" w:lastRowFirstColumn="0" w:lastRowLastColumn="0"/>
              <w:rPr>
                <w:rFonts w:ascii="Avenir Next LT Pro" w:eastAsia="Times New Roman" w:hAnsi="Avenir Next LT Pro" w:cs="Calibri"/>
                <w:color w:val="000000"/>
                <w:lang w:eastAsia="it-IT"/>
              </w:rPr>
            </w:pPr>
            <w:r w:rsidRPr="006C0A19">
              <w:rPr>
                <w:rFonts w:ascii="Avenir Next LT Pro" w:eastAsia="Times New Roman" w:hAnsi="Avenir Next LT Pro" w:cs="Calibri"/>
                <w:color w:val="000000"/>
                <w:lang w:eastAsia="it-IT"/>
              </w:rPr>
              <w:t>Pubblicata, aggiornata</w:t>
            </w:r>
          </w:p>
        </w:tc>
      </w:tr>
      <w:tr w:rsidR="006C0A19" w:rsidRPr="006C0A19" w14:paraId="0106736E" w14:textId="77777777" w:rsidTr="002D0D86">
        <w:trPr>
          <w:trHeight w:val="324"/>
          <w:jc w:val="center"/>
        </w:trPr>
        <w:tc>
          <w:tcPr>
            <w:cnfStyle w:val="001000000000" w:firstRow="0" w:lastRow="0" w:firstColumn="1" w:lastColumn="0" w:oddVBand="0" w:evenVBand="0" w:oddHBand="0" w:evenHBand="0" w:firstRowFirstColumn="0" w:firstRowLastColumn="0" w:lastRowFirstColumn="0" w:lastRowLastColumn="0"/>
            <w:tcW w:w="5098" w:type="dxa"/>
            <w:noWrap/>
            <w:vAlign w:val="center"/>
            <w:hideMark/>
          </w:tcPr>
          <w:p w14:paraId="2D8023A6" w14:textId="77777777" w:rsidR="006C0A19" w:rsidRPr="006C0A19" w:rsidRDefault="006C0A19" w:rsidP="006C0A19">
            <w:pPr>
              <w:keepNext/>
              <w:keepLines/>
              <w:rPr>
                <w:rFonts w:ascii="Avenir Next LT Pro" w:eastAsia="Times New Roman" w:hAnsi="Avenir Next LT Pro" w:cs="Calibri"/>
                <w:color w:val="000000"/>
                <w:lang w:eastAsia="it-IT"/>
              </w:rPr>
            </w:pPr>
            <w:r w:rsidRPr="006C0A19">
              <w:rPr>
                <w:rFonts w:ascii="Avenir Next LT Pro" w:eastAsia="Times New Roman" w:hAnsi="Avenir Next LT Pro" w:cs="Calibri"/>
                <w:color w:val="000000"/>
                <w:lang w:eastAsia="it-IT"/>
              </w:rPr>
              <w:t>UC Bassa Reggiana</w:t>
            </w:r>
          </w:p>
        </w:tc>
        <w:tc>
          <w:tcPr>
            <w:tcW w:w="3402" w:type="dxa"/>
            <w:noWrap/>
            <w:vAlign w:val="center"/>
            <w:hideMark/>
          </w:tcPr>
          <w:p w14:paraId="27E46BC0" w14:textId="77777777" w:rsidR="006C0A19" w:rsidRPr="006C0A19" w:rsidRDefault="006C0A19" w:rsidP="006C0A19">
            <w:pPr>
              <w:keepNext/>
              <w:keepLines/>
              <w:cnfStyle w:val="000000000000" w:firstRow="0" w:lastRow="0" w:firstColumn="0" w:lastColumn="0" w:oddVBand="0" w:evenVBand="0" w:oddHBand="0" w:evenHBand="0" w:firstRowFirstColumn="0" w:firstRowLastColumn="0" w:lastRowFirstColumn="0" w:lastRowLastColumn="0"/>
              <w:rPr>
                <w:rFonts w:ascii="Avenir Next LT Pro" w:eastAsia="Times New Roman" w:hAnsi="Avenir Next LT Pro" w:cs="Calibri"/>
                <w:color w:val="000000"/>
                <w:lang w:eastAsia="it-IT"/>
              </w:rPr>
            </w:pPr>
            <w:r w:rsidRPr="006C0A19">
              <w:rPr>
                <w:rFonts w:ascii="Avenir Next LT Pro" w:eastAsia="Times New Roman" w:hAnsi="Avenir Next LT Pro" w:cs="Calibri"/>
                <w:color w:val="000000"/>
                <w:lang w:eastAsia="it-IT"/>
              </w:rPr>
              <w:t>Pubblicata, aggiornata</w:t>
            </w:r>
          </w:p>
        </w:tc>
      </w:tr>
      <w:tr w:rsidR="006C0A19" w:rsidRPr="006C0A19" w14:paraId="6D3E09E0" w14:textId="77777777" w:rsidTr="006C0A19">
        <w:trPr>
          <w:cnfStyle w:val="000000100000" w:firstRow="0" w:lastRow="0" w:firstColumn="0" w:lastColumn="0" w:oddVBand="0" w:evenVBand="0" w:oddHBand="1" w:evenHBand="0" w:firstRowFirstColumn="0" w:firstRowLastColumn="0" w:lastRowFirstColumn="0" w:lastRowLastColumn="0"/>
          <w:trHeight w:val="324"/>
          <w:jc w:val="center"/>
        </w:trPr>
        <w:tc>
          <w:tcPr>
            <w:cnfStyle w:val="001000000000" w:firstRow="0" w:lastRow="0" w:firstColumn="1" w:lastColumn="0" w:oddVBand="0" w:evenVBand="0" w:oddHBand="0" w:evenHBand="0" w:firstRowFirstColumn="0" w:firstRowLastColumn="0" w:lastRowFirstColumn="0" w:lastRowLastColumn="0"/>
            <w:tcW w:w="5098" w:type="dxa"/>
            <w:noWrap/>
            <w:vAlign w:val="center"/>
            <w:hideMark/>
          </w:tcPr>
          <w:p w14:paraId="6F86EBCB" w14:textId="77777777" w:rsidR="006C0A19" w:rsidRPr="006C0A19" w:rsidRDefault="006C0A19" w:rsidP="006C0A19">
            <w:pPr>
              <w:keepNext/>
              <w:keepLines/>
              <w:rPr>
                <w:rFonts w:ascii="Avenir Next LT Pro" w:eastAsia="Times New Roman" w:hAnsi="Avenir Next LT Pro" w:cs="Calibri"/>
                <w:color w:val="000000"/>
                <w:lang w:eastAsia="it-IT"/>
              </w:rPr>
            </w:pPr>
            <w:r w:rsidRPr="006C0A19">
              <w:rPr>
                <w:rFonts w:ascii="Avenir Next LT Pro" w:eastAsia="Times New Roman" w:hAnsi="Avenir Next LT Pro" w:cs="Calibri"/>
                <w:color w:val="000000"/>
                <w:lang w:eastAsia="it-IT"/>
              </w:rPr>
              <w:t>UC Garfagnana</w:t>
            </w:r>
          </w:p>
        </w:tc>
        <w:tc>
          <w:tcPr>
            <w:tcW w:w="3402" w:type="dxa"/>
            <w:noWrap/>
            <w:vAlign w:val="center"/>
            <w:hideMark/>
          </w:tcPr>
          <w:p w14:paraId="2610CABA" w14:textId="77777777" w:rsidR="006C0A19" w:rsidRPr="006C0A19" w:rsidRDefault="006C0A19" w:rsidP="006C0A19">
            <w:pPr>
              <w:keepNext/>
              <w:keepLines/>
              <w:cnfStyle w:val="000000100000" w:firstRow="0" w:lastRow="0" w:firstColumn="0" w:lastColumn="0" w:oddVBand="0" w:evenVBand="0" w:oddHBand="1" w:evenHBand="0" w:firstRowFirstColumn="0" w:firstRowLastColumn="0" w:lastRowFirstColumn="0" w:lastRowLastColumn="0"/>
              <w:rPr>
                <w:rFonts w:ascii="Avenir Next LT Pro" w:eastAsia="Times New Roman" w:hAnsi="Avenir Next LT Pro" w:cs="Calibri"/>
                <w:color w:val="000000"/>
                <w:lang w:eastAsia="it-IT"/>
              </w:rPr>
            </w:pPr>
            <w:r w:rsidRPr="006C0A19">
              <w:rPr>
                <w:rFonts w:ascii="Avenir Next LT Pro" w:eastAsia="Times New Roman" w:hAnsi="Avenir Next LT Pro" w:cs="Calibri"/>
                <w:color w:val="000000"/>
                <w:lang w:eastAsia="it-IT"/>
              </w:rPr>
              <w:t>Pubblicata, aggiornata</w:t>
            </w:r>
          </w:p>
        </w:tc>
      </w:tr>
      <w:tr w:rsidR="006C0A19" w:rsidRPr="006C0A19" w14:paraId="7D977D34" w14:textId="77777777" w:rsidTr="002D0D86">
        <w:trPr>
          <w:trHeight w:val="324"/>
          <w:jc w:val="center"/>
        </w:trPr>
        <w:tc>
          <w:tcPr>
            <w:cnfStyle w:val="001000000000" w:firstRow="0" w:lastRow="0" w:firstColumn="1" w:lastColumn="0" w:oddVBand="0" w:evenVBand="0" w:oddHBand="0" w:evenHBand="0" w:firstRowFirstColumn="0" w:firstRowLastColumn="0" w:lastRowFirstColumn="0" w:lastRowLastColumn="0"/>
            <w:tcW w:w="5098" w:type="dxa"/>
            <w:noWrap/>
            <w:vAlign w:val="center"/>
            <w:hideMark/>
          </w:tcPr>
          <w:p w14:paraId="000DBB15" w14:textId="77777777" w:rsidR="006C0A19" w:rsidRPr="006C0A19" w:rsidRDefault="006C0A19" w:rsidP="006C0A19">
            <w:pPr>
              <w:keepNext/>
              <w:keepLines/>
              <w:rPr>
                <w:rFonts w:ascii="Avenir Next LT Pro" w:eastAsia="Times New Roman" w:hAnsi="Avenir Next LT Pro" w:cs="Calibri"/>
                <w:color w:val="000000"/>
                <w:lang w:eastAsia="it-IT"/>
              </w:rPr>
            </w:pPr>
            <w:r w:rsidRPr="006C0A19">
              <w:rPr>
                <w:rFonts w:ascii="Avenir Next LT Pro" w:eastAsia="Times New Roman" w:hAnsi="Avenir Next LT Pro" w:cs="Calibri"/>
                <w:color w:val="000000"/>
                <w:lang w:eastAsia="it-IT"/>
              </w:rPr>
              <w:t>FC Camposampierese</w:t>
            </w:r>
          </w:p>
        </w:tc>
        <w:tc>
          <w:tcPr>
            <w:tcW w:w="3402" w:type="dxa"/>
            <w:noWrap/>
            <w:vAlign w:val="center"/>
            <w:hideMark/>
          </w:tcPr>
          <w:p w14:paraId="29CECCE7" w14:textId="77777777" w:rsidR="006C0A19" w:rsidRPr="006C0A19" w:rsidRDefault="006C0A19" w:rsidP="006C0A19">
            <w:pPr>
              <w:keepNext/>
              <w:keepLines/>
              <w:cnfStyle w:val="000000000000" w:firstRow="0" w:lastRow="0" w:firstColumn="0" w:lastColumn="0" w:oddVBand="0" w:evenVBand="0" w:oddHBand="0" w:evenHBand="0" w:firstRowFirstColumn="0" w:firstRowLastColumn="0" w:lastRowFirstColumn="0" w:lastRowLastColumn="0"/>
              <w:rPr>
                <w:rFonts w:ascii="Avenir Next LT Pro" w:eastAsia="Times New Roman" w:hAnsi="Avenir Next LT Pro" w:cs="Calibri"/>
                <w:color w:val="000000"/>
                <w:lang w:eastAsia="it-IT"/>
              </w:rPr>
            </w:pPr>
            <w:r w:rsidRPr="006C0A19">
              <w:rPr>
                <w:rFonts w:ascii="Avenir Next LT Pro" w:eastAsia="Times New Roman" w:hAnsi="Avenir Next LT Pro" w:cs="Calibri"/>
                <w:color w:val="000000"/>
                <w:lang w:eastAsia="it-IT"/>
              </w:rPr>
              <w:t>Pubblicata, aggiornata</w:t>
            </w:r>
          </w:p>
        </w:tc>
      </w:tr>
      <w:tr w:rsidR="006C0A19" w:rsidRPr="006C0A19" w14:paraId="1BD08955" w14:textId="77777777" w:rsidTr="006C0A19">
        <w:trPr>
          <w:cnfStyle w:val="000000100000" w:firstRow="0" w:lastRow="0" w:firstColumn="0" w:lastColumn="0" w:oddVBand="0" w:evenVBand="0" w:oddHBand="1" w:evenHBand="0" w:firstRowFirstColumn="0" w:firstRowLastColumn="0" w:lastRowFirstColumn="0" w:lastRowLastColumn="0"/>
          <w:trHeight w:val="324"/>
          <w:jc w:val="center"/>
        </w:trPr>
        <w:tc>
          <w:tcPr>
            <w:cnfStyle w:val="001000000000" w:firstRow="0" w:lastRow="0" w:firstColumn="1" w:lastColumn="0" w:oddVBand="0" w:evenVBand="0" w:oddHBand="0" w:evenHBand="0" w:firstRowFirstColumn="0" w:firstRowLastColumn="0" w:lastRowFirstColumn="0" w:lastRowLastColumn="0"/>
            <w:tcW w:w="5098" w:type="dxa"/>
            <w:noWrap/>
            <w:vAlign w:val="center"/>
            <w:hideMark/>
          </w:tcPr>
          <w:p w14:paraId="37AB1FB7" w14:textId="77777777" w:rsidR="006C0A19" w:rsidRPr="006C0A19" w:rsidRDefault="006C0A19" w:rsidP="006C0A19">
            <w:pPr>
              <w:keepNext/>
              <w:keepLines/>
              <w:rPr>
                <w:rFonts w:ascii="Avenir Next LT Pro" w:eastAsia="Times New Roman" w:hAnsi="Avenir Next LT Pro" w:cs="Calibri"/>
                <w:color w:val="000000"/>
                <w:lang w:eastAsia="it-IT"/>
              </w:rPr>
            </w:pPr>
            <w:r w:rsidRPr="006C0A19">
              <w:rPr>
                <w:rFonts w:ascii="Avenir Next LT Pro" w:eastAsia="Times New Roman" w:hAnsi="Avenir Next LT Pro" w:cs="Calibri"/>
                <w:color w:val="000000"/>
                <w:lang w:eastAsia="it-IT"/>
              </w:rPr>
              <w:t>UC Marca Occidentale</w:t>
            </w:r>
          </w:p>
        </w:tc>
        <w:tc>
          <w:tcPr>
            <w:tcW w:w="3402" w:type="dxa"/>
            <w:noWrap/>
            <w:vAlign w:val="center"/>
            <w:hideMark/>
          </w:tcPr>
          <w:p w14:paraId="3AEC71A5" w14:textId="77777777" w:rsidR="006C0A19" w:rsidRPr="006C0A19" w:rsidRDefault="006C0A19" w:rsidP="006C0A19">
            <w:pPr>
              <w:keepNext/>
              <w:keepLines/>
              <w:cnfStyle w:val="000000100000" w:firstRow="0" w:lastRow="0" w:firstColumn="0" w:lastColumn="0" w:oddVBand="0" w:evenVBand="0" w:oddHBand="1" w:evenHBand="0" w:firstRowFirstColumn="0" w:firstRowLastColumn="0" w:lastRowFirstColumn="0" w:lastRowLastColumn="0"/>
              <w:rPr>
                <w:rFonts w:ascii="Avenir Next LT Pro" w:eastAsia="Times New Roman" w:hAnsi="Avenir Next LT Pro" w:cs="Calibri"/>
                <w:color w:val="000000"/>
                <w:lang w:eastAsia="it-IT"/>
              </w:rPr>
            </w:pPr>
            <w:r w:rsidRPr="006C0A19">
              <w:rPr>
                <w:rFonts w:ascii="Avenir Next LT Pro" w:eastAsia="Times New Roman" w:hAnsi="Avenir Next LT Pro" w:cs="Calibri"/>
                <w:color w:val="000000"/>
                <w:lang w:eastAsia="it-IT"/>
              </w:rPr>
              <w:t>Pubblicata, ferma al 2018</w:t>
            </w:r>
          </w:p>
        </w:tc>
      </w:tr>
    </w:tbl>
    <w:p w14:paraId="2A3132CF" w14:textId="77777777" w:rsidR="006C0A19" w:rsidRPr="006C0A19" w:rsidRDefault="006C0A19" w:rsidP="006C0A19">
      <w:pPr>
        <w:keepNext/>
        <w:spacing w:before="120" w:after="200" w:line="276" w:lineRule="auto"/>
        <w:jc w:val="both"/>
        <w:rPr>
          <w:rFonts w:ascii="Avenir Next LT Pro" w:eastAsia="Palatino Linotype" w:hAnsi="Avenir Next LT Pro" w:cs="Palatino Linotype"/>
          <w:sz w:val="23"/>
        </w:rPr>
      </w:pPr>
      <w:r w:rsidRPr="006C0A19">
        <w:rPr>
          <w:rFonts w:ascii="Avenir Next LT Pro" w:eastAsia="MS Mincho" w:hAnsi="Avenir Next LT Pro" w:cs="Times New Roman"/>
          <w:sz w:val="20"/>
          <w:szCs w:val="20"/>
        </w:rPr>
        <w:t xml:space="preserve">Fonte: rielaborazione </w:t>
      </w:r>
      <w:r w:rsidRPr="006C0A19">
        <w:rPr>
          <w:rFonts w:ascii="Avenir Next LT Pro" w:eastAsia="Palatino Linotype" w:hAnsi="Avenir Next LT Pro" w:cs="Palatino Linotype"/>
          <w:sz w:val="20"/>
          <w:szCs w:val="20"/>
        </w:rPr>
        <w:t>da sezione Amministrazione Trasparente sui siti web delle Unioni</w:t>
      </w:r>
    </w:p>
    <w:p w14:paraId="3C76FA21" w14:textId="77777777" w:rsidR="006C0A19" w:rsidRPr="006C0A19" w:rsidRDefault="006C0A19" w:rsidP="006C0A19">
      <w:pPr>
        <w:spacing w:after="60" w:line="312" w:lineRule="auto"/>
        <w:jc w:val="both"/>
        <w:rPr>
          <w:rFonts w:ascii="Avenir Next LT Pro" w:eastAsia="MS Mincho" w:hAnsi="Avenir Next LT Pro" w:cs="Times New Roman"/>
          <w:sz w:val="23"/>
        </w:rPr>
      </w:pPr>
    </w:p>
    <w:p w14:paraId="3B66900B" w14:textId="77777777" w:rsidR="006C0A19" w:rsidRPr="006C0A19" w:rsidRDefault="006C0A19" w:rsidP="006C0A19">
      <w:pPr>
        <w:spacing w:after="60" w:line="312" w:lineRule="auto"/>
        <w:jc w:val="both"/>
        <w:rPr>
          <w:rFonts w:ascii="Avenir Next LT Pro" w:eastAsia="MS Mincho" w:hAnsi="Avenir Next LT Pro" w:cs="Times New Roman"/>
          <w:sz w:val="23"/>
        </w:rPr>
      </w:pPr>
      <w:r w:rsidRPr="006C0A19">
        <w:rPr>
          <w:rFonts w:ascii="Avenir Next LT Pro" w:eastAsia="MS Mincho" w:hAnsi="Avenir Next LT Pro" w:cs="Times New Roman"/>
          <w:sz w:val="23"/>
        </w:rPr>
        <w:t>È da segnalare come esempio virtuoso quello dell’Unione Reno Galliera, che nella Relazione della Performance rendiconta per i vari settori associati: numero dei dipendenti, ore complessive lavorate nell’anno, numero dei procedimenti eseguiti, le spese e le entrate per il servizio</w:t>
      </w:r>
      <w:r w:rsidRPr="006C0A19">
        <w:rPr>
          <w:rFonts w:ascii="Avenir Next LT Pro" w:eastAsia="MS Mincho" w:hAnsi="Avenir Next LT Pro" w:cs="Times New Roman"/>
          <w:sz w:val="23"/>
          <w:vertAlign w:val="superscript"/>
        </w:rPr>
        <w:footnoteReference w:id="3"/>
      </w:r>
      <w:r w:rsidRPr="006C0A19">
        <w:rPr>
          <w:rFonts w:ascii="Avenir Next LT Pro" w:eastAsia="MS Mincho" w:hAnsi="Avenir Next LT Pro" w:cs="Times New Roman"/>
          <w:sz w:val="23"/>
        </w:rPr>
        <w:t xml:space="preserve"> (Cfr. figura seguente). </w:t>
      </w:r>
    </w:p>
    <w:p w14:paraId="68B0B77B" w14:textId="77777777" w:rsidR="006C0A19" w:rsidRPr="006C0A19" w:rsidRDefault="006C0A19" w:rsidP="006C0A19">
      <w:pPr>
        <w:spacing w:after="60" w:line="312" w:lineRule="auto"/>
        <w:jc w:val="both"/>
        <w:rPr>
          <w:rFonts w:ascii="Avenir Next LT Pro" w:eastAsia="MS Mincho" w:hAnsi="Avenir Next LT Pro" w:cs="Times New Roman"/>
          <w:sz w:val="23"/>
        </w:rPr>
      </w:pPr>
      <w:r w:rsidRPr="006C0A19">
        <w:rPr>
          <w:rFonts w:ascii="Avenir Next LT Pro" w:eastAsia="MS Mincho" w:hAnsi="Avenir Next LT Pro" w:cs="Times New Roman"/>
          <w:sz w:val="23"/>
        </w:rPr>
        <w:br w:type="page"/>
      </w:r>
    </w:p>
    <w:p w14:paraId="5E7BE072" w14:textId="77777777" w:rsidR="006C0A19" w:rsidRPr="006C0A19" w:rsidRDefault="006C0A19" w:rsidP="006C0A19">
      <w:pPr>
        <w:keepNext/>
        <w:spacing w:after="200" w:line="240" w:lineRule="auto"/>
        <w:rPr>
          <w:rFonts w:ascii="Avenir Next LT Pro" w:eastAsia="MS Mincho" w:hAnsi="Avenir Next LT Pro" w:cs="Times New Roman"/>
          <w:i/>
          <w:iCs/>
          <w:color w:val="082A75"/>
          <w:sz w:val="23"/>
          <w:szCs w:val="23"/>
        </w:rPr>
      </w:pPr>
      <w:bookmarkStart w:id="4" w:name="_Toc93171082"/>
      <w:r w:rsidRPr="006C0A19">
        <w:rPr>
          <w:rFonts w:ascii="Avenir Next LT Pro" w:eastAsia="MS Mincho" w:hAnsi="Avenir Next LT Pro" w:cs="Times New Roman"/>
          <w:i/>
          <w:iCs/>
          <w:color w:val="082A75"/>
          <w:sz w:val="23"/>
          <w:szCs w:val="23"/>
        </w:rPr>
        <w:lastRenderedPageBreak/>
        <w:t xml:space="preserve">Figura </w:t>
      </w:r>
      <w:r w:rsidRPr="006C0A19">
        <w:rPr>
          <w:rFonts w:ascii="Avenir Next LT Pro" w:eastAsia="MS Mincho" w:hAnsi="Avenir Next LT Pro" w:cs="Times New Roman"/>
          <w:i/>
          <w:iCs/>
          <w:color w:val="082A75"/>
          <w:sz w:val="23"/>
          <w:szCs w:val="23"/>
        </w:rPr>
        <w:fldChar w:fldCharType="begin"/>
      </w:r>
      <w:r w:rsidRPr="006C0A19">
        <w:rPr>
          <w:rFonts w:ascii="Avenir Next LT Pro" w:eastAsia="MS Mincho" w:hAnsi="Avenir Next LT Pro" w:cs="Times New Roman"/>
          <w:i/>
          <w:iCs/>
          <w:color w:val="082A75"/>
          <w:sz w:val="23"/>
          <w:szCs w:val="23"/>
        </w:rPr>
        <w:instrText xml:space="preserve"> SEQ Figura \* ARABIC </w:instrText>
      </w:r>
      <w:r w:rsidRPr="006C0A19">
        <w:rPr>
          <w:rFonts w:ascii="Avenir Next LT Pro" w:eastAsia="MS Mincho" w:hAnsi="Avenir Next LT Pro" w:cs="Times New Roman"/>
          <w:i/>
          <w:iCs/>
          <w:color w:val="082A75"/>
          <w:sz w:val="23"/>
          <w:szCs w:val="23"/>
        </w:rPr>
        <w:fldChar w:fldCharType="separate"/>
      </w:r>
      <w:r w:rsidRPr="006C0A19">
        <w:rPr>
          <w:rFonts w:ascii="Avenir Next LT Pro" w:eastAsia="MS Mincho" w:hAnsi="Avenir Next LT Pro" w:cs="Times New Roman"/>
          <w:i/>
          <w:iCs/>
          <w:noProof/>
          <w:color w:val="082A75"/>
          <w:sz w:val="23"/>
          <w:szCs w:val="23"/>
        </w:rPr>
        <w:t>28</w:t>
      </w:r>
      <w:r w:rsidRPr="006C0A19">
        <w:rPr>
          <w:rFonts w:ascii="Avenir Next LT Pro" w:eastAsia="MS Mincho" w:hAnsi="Avenir Next LT Pro" w:cs="Times New Roman"/>
          <w:i/>
          <w:iCs/>
          <w:color w:val="082A75"/>
          <w:sz w:val="23"/>
          <w:szCs w:val="23"/>
        </w:rPr>
        <w:fldChar w:fldCharType="end"/>
      </w:r>
      <w:r w:rsidRPr="006C0A19">
        <w:rPr>
          <w:rFonts w:ascii="Avenir Next LT Pro" w:eastAsia="MS Mincho" w:hAnsi="Avenir Next LT Pro" w:cs="Times New Roman"/>
          <w:i/>
          <w:iCs/>
          <w:color w:val="082A75"/>
          <w:sz w:val="23"/>
          <w:szCs w:val="23"/>
        </w:rPr>
        <w:t xml:space="preserve"> ESTRATTO DA SITO WEB DELL’UNIONE RENO GALLIERA – INDICAZIONE DEL NUMERO PROCEDIMENTI CONCLUSI IN RELAZIONE DELLA PERFORMANCE</w:t>
      </w:r>
      <w:bookmarkEnd w:id="4"/>
    </w:p>
    <w:p w14:paraId="515E4B6E" w14:textId="77777777" w:rsidR="006C0A19" w:rsidRPr="006C0A19" w:rsidRDefault="006C0A19" w:rsidP="006C0A19">
      <w:pPr>
        <w:spacing w:after="0" w:line="240" w:lineRule="auto"/>
        <w:jc w:val="center"/>
        <w:rPr>
          <w:rFonts w:ascii="Avenir Next LT Pro" w:eastAsia="MS Mincho" w:hAnsi="Avenir Next LT Pro" w:cs="Times New Roman"/>
          <w:smallCaps/>
          <w:kern w:val="24"/>
          <w:sz w:val="24"/>
          <w:szCs w:val="24"/>
        </w:rPr>
      </w:pPr>
      <w:r w:rsidRPr="006C0A19">
        <w:rPr>
          <w:rFonts w:ascii="Avenir Next LT Pro" w:eastAsia="MS Mincho" w:hAnsi="Avenir Next LT Pro" w:cs="Times New Roman"/>
          <w:smallCaps/>
          <w:noProof/>
          <w:kern w:val="24"/>
          <w:sz w:val="24"/>
          <w:szCs w:val="24"/>
        </w:rPr>
        <w:drawing>
          <wp:inline distT="0" distB="0" distL="0" distR="0" wp14:anchorId="1B5ABAD7" wp14:editId="02BE8DFF">
            <wp:extent cx="4290060" cy="4134058"/>
            <wp:effectExtent l="0" t="0" r="0" b="0"/>
            <wp:docPr id="88" name="Immagine 88" descr="Immagine che contiene tavol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magine 88" descr="Immagine che contiene tavolo&#10;&#10;Descrizione generata automaticamente"/>
                    <pic:cNvPicPr/>
                  </pic:nvPicPr>
                  <pic:blipFill>
                    <a:blip r:embed="rId9"/>
                    <a:stretch>
                      <a:fillRect/>
                    </a:stretch>
                  </pic:blipFill>
                  <pic:spPr>
                    <a:xfrm>
                      <a:off x="0" y="0"/>
                      <a:ext cx="4298164" cy="4141867"/>
                    </a:xfrm>
                    <a:prstGeom prst="rect">
                      <a:avLst/>
                    </a:prstGeom>
                  </pic:spPr>
                </pic:pic>
              </a:graphicData>
            </a:graphic>
          </wp:inline>
        </w:drawing>
      </w:r>
    </w:p>
    <w:p w14:paraId="2980A8E2" w14:textId="77777777" w:rsidR="006C0A19" w:rsidRPr="006C0A19" w:rsidRDefault="006C0A19" w:rsidP="006C0A19">
      <w:pPr>
        <w:spacing w:after="200" w:line="276" w:lineRule="auto"/>
        <w:jc w:val="both"/>
        <w:rPr>
          <w:rFonts w:ascii="Avenir Next LT Pro" w:eastAsia="MS Mincho" w:hAnsi="Avenir Next LT Pro" w:cs="Times New Roman"/>
          <w:smallCaps/>
          <w:kern w:val="24"/>
          <w:sz w:val="24"/>
          <w:szCs w:val="24"/>
        </w:rPr>
      </w:pPr>
      <w:r w:rsidRPr="006C0A19">
        <w:rPr>
          <w:rFonts w:ascii="Avenir Next LT Pro" w:eastAsia="MS Mincho" w:hAnsi="Avenir Next LT Pro" w:cs="Times New Roman"/>
          <w:smallCaps/>
          <w:noProof/>
          <w:kern w:val="24"/>
          <w:sz w:val="24"/>
          <w:szCs w:val="24"/>
        </w:rPr>
        <w:drawing>
          <wp:anchor distT="0" distB="0" distL="114300" distR="114300" simplePos="0" relativeHeight="251661312" behindDoc="0" locked="0" layoutInCell="1" allowOverlap="1" wp14:anchorId="635A1DFA" wp14:editId="133CFA12">
            <wp:simplePos x="0" y="0"/>
            <wp:positionH relativeFrom="column">
              <wp:posOffset>1459865</wp:posOffset>
            </wp:positionH>
            <wp:positionV relativeFrom="paragraph">
              <wp:posOffset>0</wp:posOffset>
            </wp:positionV>
            <wp:extent cx="3454400" cy="3589020"/>
            <wp:effectExtent l="0" t="0" r="5080" b="2540"/>
            <wp:wrapTopAndBottom/>
            <wp:docPr id="98" name="Immagin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3454400" cy="3589020"/>
                    </a:xfrm>
                    <a:prstGeom prst="rect">
                      <a:avLst/>
                    </a:prstGeom>
                  </pic:spPr>
                </pic:pic>
              </a:graphicData>
            </a:graphic>
            <wp14:sizeRelH relativeFrom="margin">
              <wp14:pctWidth>0</wp14:pctWidth>
            </wp14:sizeRelH>
            <wp14:sizeRelV relativeFrom="margin">
              <wp14:pctHeight>0</wp14:pctHeight>
            </wp14:sizeRelV>
          </wp:anchor>
        </w:drawing>
      </w:r>
    </w:p>
    <w:p w14:paraId="47DBAB7C" w14:textId="77777777" w:rsidR="006C0A19" w:rsidRPr="006C0A19" w:rsidRDefault="006C0A19" w:rsidP="006C0A19">
      <w:pPr>
        <w:keepNext/>
        <w:keepLines/>
        <w:numPr>
          <w:ilvl w:val="2"/>
          <w:numId w:val="0"/>
        </w:numPr>
        <w:spacing w:after="240" w:line="288" w:lineRule="auto"/>
        <w:ind w:left="1440" w:hanging="720"/>
        <w:jc w:val="both"/>
        <w:outlineLvl w:val="2"/>
        <w:rPr>
          <w:rFonts w:ascii="Avenir Next LT Pro" w:eastAsia="MS Gothic" w:hAnsi="Avenir Next LT Pro" w:cs="Times New Roman"/>
          <w:b/>
          <w:color w:val="256D9D"/>
          <w:sz w:val="24"/>
          <w:szCs w:val="24"/>
        </w:rPr>
      </w:pPr>
      <w:bookmarkStart w:id="5" w:name="_Toc93168830"/>
      <w:r w:rsidRPr="006C0A19">
        <w:rPr>
          <w:rFonts w:ascii="Avenir Next LT Pro" w:eastAsia="MS Gothic" w:hAnsi="Avenir Next LT Pro" w:cs="Times New Roman"/>
          <w:b/>
          <w:color w:val="256D9D"/>
          <w:sz w:val="24"/>
          <w:szCs w:val="24"/>
        </w:rPr>
        <w:lastRenderedPageBreak/>
        <w:t>Indicatore di efficienza: monitoraggio dei tempi</w:t>
      </w:r>
      <w:bookmarkEnd w:id="5"/>
      <w:r w:rsidRPr="006C0A19">
        <w:rPr>
          <w:rFonts w:ascii="Avenir Next LT Pro" w:eastAsia="MS Gothic" w:hAnsi="Avenir Next LT Pro" w:cs="Times New Roman"/>
          <w:b/>
          <w:color w:val="256D9D"/>
          <w:sz w:val="24"/>
          <w:szCs w:val="24"/>
        </w:rPr>
        <w:t xml:space="preserve"> </w:t>
      </w:r>
    </w:p>
    <w:p w14:paraId="514E9587" w14:textId="77777777" w:rsidR="006C0A19" w:rsidRPr="006C0A19" w:rsidRDefault="006C0A19" w:rsidP="006C0A19">
      <w:pPr>
        <w:spacing w:after="200" w:line="276" w:lineRule="auto"/>
        <w:jc w:val="both"/>
        <w:rPr>
          <w:rFonts w:ascii="Avenir Next LT Pro" w:eastAsia="MS Mincho" w:hAnsi="Avenir Next LT Pro" w:cs="Times New Roman"/>
          <w:sz w:val="23"/>
        </w:rPr>
      </w:pPr>
      <w:r w:rsidRPr="006C0A19">
        <w:rPr>
          <w:rFonts w:ascii="Avenir Next LT Pro" w:eastAsia="MS Mincho" w:hAnsi="Avenir Next LT Pro" w:cs="Times New Roman"/>
          <w:sz w:val="23"/>
        </w:rPr>
        <w:t>Un altro indicatore di efficienza è quello relativo al monitoraggio dei tempi medi di erogazione dei servizi e di conclusione dei procedimenti. Anch’esso riguarda un obbligo normativo che è venuto meno per effetto dell’abrogazione dell’art. 24 comma 2 del d.lgs. 33/2013 da parte del d.lgs. 97/2016. La prevedibile conseguenza è che la maggior parte delle Unioni pubblica una sottosezione vuota. Va sottolineato, però, che ad essere stato abrogato è solo l’obbligo di pubblicare, ma non la possibilità, e anzi l’opportunità, di farlo.</w:t>
      </w:r>
    </w:p>
    <w:p w14:paraId="4ECB41F2" w14:textId="77777777" w:rsidR="006C0A19" w:rsidRPr="006C0A19" w:rsidRDefault="006C0A19" w:rsidP="006C0A19">
      <w:pPr>
        <w:spacing w:after="200" w:line="276" w:lineRule="auto"/>
        <w:jc w:val="both"/>
        <w:rPr>
          <w:rFonts w:ascii="Avenir Next LT Pro" w:eastAsia="MS Mincho" w:hAnsi="Avenir Next LT Pro" w:cs="Times New Roman"/>
          <w:sz w:val="23"/>
        </w:rPr>
      </w:pPr>
      <w:r w:rsidRPr="006C0A19">
        <w:rPr>
          <w:rFonts w:ascii="Avenir Next LT Pro" w:eastAsia="MS Mincho" w:hAnsi="Avenir Next LT Pro" w:cs="Times New Roman"/>
          <w:sz w:val="23"/>
        </w:rPr>
        <w:t>Ciò nonostante, solo un sesto circa del campione risulta essersi impegnato a rendicontare i tempi medi registrati nell’anno per i propri servizi e procedimenti, come mostra la tabella che segue.</w:t>
      </w:r>
    </w:p>
    <w:p w14:paraId="66ADBBF3" w14:textId="77777777" w:rsidR="006C0A19" w:rsidRPr="006C0A19" w:rsidRDefault="006C0A19" w:rsidP="006C0A19">
      <w:pPr>
        <w:spacing w:after="200" w:line="276" w:lineRule="auto"/>
        <w:jc w:val="both"/>
        <w:rPr>
          <w:rFonts w:ascii="Avenir Next LT Pro" w:eastAsia="MS Mincho" w:hAnsi="Avenir Next LT Pro" w:cs="Times New Roman"/>
          <w:sz w:val="23"/>
        </w:rPr>
      </w:pPr>
    </w:p>
    <w:p w14:paraId="32104DB8" w14:textId="77777777" w:rsidR="006C0A19" w:rsidRPr="006C0A19" w:rsidRDefault="006C0A19" w:rsidP="006C0A19">
      <w:pPr>
        <w:keepNext/>
        <w:spacing w:after="200" w:line="240" w:lineRule="auto"/>
        <w:jc w:val="both"/>
        <w:rPr>
          <w:rFonts w:ascii="Avenir Next LT Pro" w:eastAsia="MS Mincho" w:hAnsi="Avenir Next LT Pro" w:cs="Times New Roman"/>
          <w:i/>
          <w:iCs/>
          <w:color w:val="082A75"/>
          <w:sz w:val="23"/>
          <w:szCs w:val="23"/>
        </w:rPr>
      </w:pPr>
      <w:bookmarkStart w:id="6" w:name="_Toc93170930"/>
      <w:r w:rsidRPr="006C0A19">
        <w:rPr>
          <w:rFonts w:ascii="Avenir Next LT Pro" w:eastAsia="MS Mincho" w:hAnsi="Avenir Next LT Pro" w:cs="Times New Roman"/>
          <w:i/>
          <w:iCs/>
          <w:color w:val="082A75"/>
          <w:sz w:val="23"/>
          <w:szCs w:val="23"/>
        </w:rPr>
        <w:t xml:space="preserve">Tabella </w:t>
      </w:r>
      <w:r w:rsidRPr="006C0A19">
        <w:rPr>
          <w:rFonts w:ascii="Avenir Next LT Pro" w:eastAsia="MS Mincho" w:hAnsi="Avenir Next LT Pro" w:cs="Times New Roman"/>
          <w:i/>
          <w:iCs/>
          <w:color w:val="082A75"/>
          <w:sz w:val="23"/>
          <w:szCs w:val="23"/>
        </w:rPr>
        <w:fldChar w:fldCharType="begin"/>
      </w:r>
      <w:r w:rsidRPr="006C0A19">
        <w:rPr>
          <w:rFonts w:ascii="Avenir Next LT Pro" w:eastAsia="MS Mincho" w:hAnsi="Avenir Next LT Pro" w:cs="Times New Roman"/>
          <w:i/>
          <w:iCs/>
          <w:color w:val="082A75"/>
          <w:sz w:val="23"/>
          <w:szCs w:val="23"/>
        </w:rPr>
        <w:instrText xml:space="preserve"> SEQ Tabella \* ARABIC </w:instrText>
      </w:r>
      <w:r w:rsidRPr="006C0A19">
        <w:rPr>
          <w:rFonts w:ascii="Avenir Next LT Pro" w:eastAsia="MS Mincho" w:hAnsi="Avenir Next LT Pro" w:cs="Times New Roman"/>
          <w:i/>
          <w:iCs/>
          <w:color w:val="082A75"/>
          <w:sz w:val="23"/>
          <w:szCs w:val="23"/>
        </w:rPr>
        <w:fldChar w:fldCharType="separate"/>
      </w:r>
      <w:r w:rsidRPr="006C0A19">
        <w:rPr>
          <w:rFonts w:ascii="Avenir Next LT Pro" w:eastAsia="MS Mincho" w:hAnsi="Avenir Next LT Pro" w:cs="Times New Roman"/>
          <w:i/>
          <w:iCs/>
          <w:noProof/>
          <w:color w:val="082A75"/>
          <w:sz w:val="23"/>
          <w:szCs w:val="23"/>
        </w:rPr>
        <w:t>25</w:t>
      </w:r>
      <w:r w:rsidRPr="006C0A19">
        <w:rPr>
          <w:rFonts w:ascii="Avenir Next LT Pro" w:eastAsia="MS Mincho" w:hAnsi="Avenir Next LT Pro" w:cs="Times New Roman"/>
          <w:i/>
          <w:iCs/>
          <w:color w:val="082A75"/>
          <w:sz w:val="23"/>
          <w:szCs w:val="23"/>
        </w:rPr>
        <w:fldChar w:fldCharType="end"/>
      </w:r>
      <w:r w:rsidRPr="006C0A19">
        <w:rPr>
          <w:rFonts w:ascii="Avenir Next LT Pro" w:eastAsia="MS Mincho" w:hAnsi="Avenir Next LT Pro" w:cs="Times New Roman"/>
          <w:i/>
          <w:iCs/>
          <w:color w:val="082A75"/>
          <w:sz w:val="23"/>
          <w:szCs w:val="23"/>
        </w:rPr>
        <w:t xml:space="preserve"> MONITORAGGIO DEI TEMPI MEDI DEI PROCEDIMENTI E DEI SERVIZI</w:t>
      </w:r>
      <w:bookmarkEnd w:id="6"/>
    </w:p>
    <w:tbl>
      <w:tblPr>
        <w:tblStyle w:val="Tabellagriglia4-colore21"/>
        <w:tblW w:w="6658" w:type="dxa"/>
        <w:jc w:val="center"/>
        <w:tblLook w:val="04A0" w:firstRow="1" w:lastRow="0" w:firstColumn="1" w:lastColumn="0" w:noHBand="0" w:noVBand="1"/>
      </w:tblPr>
      <w:tblGrid>
        <w:gridCol w:w="4054"/>
        <w:gridCol w:w="2604"/>
      </w:tblGrid>
      <w:tr w:rsidR="006C0A19" w:rsidRPr="006C0A19" w14:paraId="14FAE32C" w14:textId="77777777" w:rsidTr="006C0A19">
        <w:trPr>
          <w:cnfStyle w:val="100000000000" w:firstRow="1" w:lastRow="0" w:firstColumn="0" w:lastColumn="0" w:oddVBand="0" w:evenVBand="0" w:oddHBand="0" w:evenHBand="0" w:firstRowFirstColumn="0" w:firstRowLastColumn="0" w:lastRowFirstColumn="0" w:lastRowLastColumn="0"/>
          <w:trHeight w:val="624"/>
          <w:jc w:val="center"/>
        </w:trPr>
        <w:tc>
          <w:tcPr>
            <w:cnfStyle w:val="001000000000" w:firstRow="0" w:lastRow="0" w:firstColumn="1" w:lastColumn="0" w:oddVBand="0" w:evenVBand="0" w:oddHBand="0" w:evenHBand="0" w:firstRowFirstColumn="0" w:firstRowLastColumn="0" w:lastRowFirstColumn="0" w:lastRowLastColumn="0"/>
            <w:tcW w:w="4054" w:type="dxa"/>
            <w:vAlign w:val="center"/>
            <w:hideMark/>
          </w:tcPr>
          <w:p w14:paraId="368249A9" w14:textId="77777777" w:rsidR="006C0A19" w:rsidRPr="006C0A19" w:rsidRDefault="006C0A19" w:rsidP="006C0A19">
            <w:pPr>
              <w:jc w:val="center"/>
              <w:rPr>
                <w:rFonts w:ascii="Avenir Next LT Pro" w:eastAsia="Times New Roman" w:hAnsi="Avenir Next LT Pro" w:cs="Calibri"/>
                <w:lang w:eastAsia="it-IT"/>
              </w:rPr>
            </w:pPr>
            <w:r w:rsidRPr="006C0A19">
              <w:rPr>
                <w:rFonts w:ascii="Avenir Next LT Pro" w:eastAsia="Times New Roman" w:hAnsi="Avenir Next LT Pro" w:cs="Calibri"/>
                <w:lang w:eastAsia="it-IT"/>
              </w:rPr>
              <w:t>Monitoraggio dei tempi dei procedimenti e dei servizi</w:t>
            </w:r>
          </w:p>
        </w:tc>
        <w:tc>
          <w:tcPr>
            <w:tcW w:w="2604" w:type="dxa"/>
            <w:noWrap/>
            <w:vAlign w:val="center"/>
            <w:hideMark/>
          </w:tcPr>
          <w:p w14:paraId="3F50AC9D" w14:textId="77777777" w:rsidR="006C0A19" w:rsidRPr="006C0A19" w:rsidRDefault="006C0A19" w:rsidP="006C0A19">
            <w:pPr>
              <w:jc w:val="center"/>
              <w:cnfStyle w:val="100000000000" w:firstRow="1" w:lastRow="0" w:firstColumn="0" w:lastColumn="0" w:oddVBand="0" w:evenVBand="0" w:oddHBand="0" w:evenHBand="0" w:firstRowFirstColumn="0" w:firstRowLastColumn="0" w:lastRowFirstColumn="0" w:lastRowLastColumn="0"/>
              <w:rPr>
                <w:rFonts w:ascii="Avenir Next LT Pro" w:eastAsia="Times New Roman" w:hAnsi="Avenir Next LT Pro" w:cs="Calibri"/>
                <w:lang w:eastAsia="it-IT"/>
              </w:rPr>
            </w:pPr>
            <w:r w:rsidRPr="006C0A19">
              <w:rPr>
                <w:rFonts w:ascii="Avenir Next LT Pro" w:eastAsia="Times New Roman" w:hAnsi="Avenir Next LT Pro" w:cs="Calibri"/>
                <w:lang w:eastAsia="it-IT"/>
              </w:rPr>
              <w:t>Esito</w:t>
            </w:r>
          </w:p>
        </w:tc>
      </w:tr>
      <w:tr w:rsidR="006C0A19" w:rsidRPr="006C0A19" w14:paraId="5D4CDD15" w14:textId="77777777" w:rsidTr="006C0A19">
        <w:trPr>
          <w:cnfStyle w:val="000000100000" w:firstRow="0" w:lastRow="0" w:firstColumn="0" w:lastColumn="0" w:oddVBand="0" w:evenVBand="0" w:oddHBand="1" w:evenHBand="0" w:firstRowFirstColumn="0" w:firstRowLastColumn="0" w:lastRowFirstColumn="0" w:lastRowLastColumn="0"/>
          <w:trHeight w:val="324"/>
          <w:jc w:val="center"/>
        </w:trPr>
        <w:tc>
          <w:tcPr>
            <w:cnfStyle w:val="001000000000" w:firstRow="0" w:lastRow="0" w:firstColumn="1" w:lastColumn="0" w:oddVBand="0" w:evenVBand="0" w:oddHBand="0" w:evenHBand="0" w:firstRowFirstColumn="0" w:firstRowLastColumn="0" w:lastRowFirstColumn="0" w:lastRowLastColumn="0"/>
            <w:tcW w:w="4054" w:type="dxa"/>
            <w:noWrap/>
            <w:vAlign w:val="center"/>
            <w:hideMark/>
          </w:tcPr>
          <w:p w14:paraId="77E9C42E" w14:textId="77777777" w:rsidR="006C0A19" w:rsidRPr="006C0A19" w:rsidRDefault="006C0A19" w:rsidP="006C0A19">
            <w:pPr>
              <w:rPr>
                <w:rFonts w:ascii="Avenir Next LT Pro" w:eastAsia="Times New Roman" w:hAnsi="Avenir Next LT Pro" w:cs="Calibri"/>
                <w:color w:val="000000"/>
                <w:lang w:eastAsia="it-IT"/>
              </w:rPr>
            </w:pPr>
            <w:r w:rsidRPr="006C0A19">
              <w:rPr>
                <w:rFonts w:ascii="Avenir Next LT Pro" w:eastAsia="Times New Roman" w:hAnsi="Avenir Next LT Pro" w:cs="Calibri"/>
                <w:color w:val="000000"/>
                <w:lang w:eastAsia="it-IT"/>
              </w:rPr>
              <w:t>FC Camposampierese</w:t>
            </w:r>
          </w:p>
        </w:tc>
        <w:tc>
          <w:tcPr>
            <w:tcW w:w="2604" w:type="dxa"/>
            <w:noWrap/>
            <w:vAlign w:val="center"/>
            <w:hideMark/>
          </w:tcPr>
          <w:p w14:paraId="5E181790" w14:textId="77777777" w:rsidR="006C0A19" w:rsidRPr="006C0A19" w:rsidRDefault="006C0A19" w:rsidP="006C0A19">
            <w:pPr>
              <w:cnfStyle w:val="000000100000" w:firstRow="0" w:lastRow="0" w:firstColumn="0" w:lastColumn="0" w:oddVBand="0" w:evenVBand="0" w:oddHBand="1" w:evenHBand="0" w:firstRowFirstColumn="0" w:firstRowLastColumn="0" w:lastRowFirstColumn="0" w:lastRowLastColumn="0"/>
              <w:rPr>
                <w:rFonts w:ascii="Avenir Next LT Pro" w:eastAsia="Times New Roman" w:hAnsi="Avenir Next LT Pro" w:cs="Calibri"/>
                <w:color w:val="000000"/>
                <w:lang w:eastAsia="it-IT"/>
              </w:rPr>
            </w:pPr>
            <w:r w:rsidRPr="006C0A19">
              <w:rPr>
                <w:rFonts w:ascii="Avenir Next LT Pro" w:eastAsia="Times New Roman" w:hAnsi="Avenir Next LT Pro" w:cs="Calibri"/>
                <w:color w:val="000000"/>
                <w:lang w:eastAsia="it-IT"/>
              </w:rPr>
              <w:t>Pubblicato e aggiornato</w:t>
            </w:r>
          </w:p>
        </w:tc>
      </w:tr>
      <w:tr w:rsidR="006C0A19" w:rsidRPr="006C0A19" w14:paraId="3243F74D" w14:textId="77777777" w:rsidTr="002D0D86">
        <w:trPr>
          <w:trHeight w:val="324"/>
          <w:jc w:val="center"/>
        </w:trPr>
        <w:tc>
          <w:tcPr>
            <w:cnfStyle w:val="001000000000" w:firstRow="0" w:lastRow="0" w:firstColumn="1" w:lastColumn="0" w:oddVBand="0" w:evenVBand="0" w:oddHBand="0" w:evenHBand="0" w:firstRowFirstColumn="0" w:firstRowLastColumn="0" w:lastRowFirstColumn="0" w:lastRowLastColumn="0"/>
            <w:tcW w:w="4054" w:type="dxa"/>
            <w:noWrap/>
            <w:vAlign w:val="center"/>
            <w:hideMark/>
          </w:tcPr>
          <w:p w14:paraId="68CA4C70" w14:textId="77777777" w:rsidR="006C0A19" w:rsidRPr="006C0A19" w:rsidRDefault="006C0A19" w:rsidP="006C0A19">
            <w:pPr>
              <w:rPr>
                <w:rFonts w:ascii="Avenir Next LT Pro" w:eastAsia="Times New Roman" w:hAnsi="Avenir Next LT Pro" w:cs="Calibri"/>
                <w:color w:val="000000"/>
                <w:lang w:eastAsia="it-IT"/>
              </w:rPr>
            </w:pPr>
            <w:r w:rsidRPr="006C0A19">
              <w:rPr>
                <w:rFonts w:ascii="Avenir Next LT Pro" w:eastAsia="Times New Roman" w:hAnsi="Avenir Next LT Pro" w:cs="Calibri"/>
                <w:color w:val="000000"/>
                <w:lang w:eastAsia="it-IT"/>
              </w:rPr>
              <w:t>UC Valle del Savio</w:t>
            </w:r>
          </w:p>
        </w:tc>
        <w:tc>
          <w:tcPr>
            <w:tcW w:w="2604" w:type="dxa"/>
            <w:noWrap/>
            <w:hideMark/>
          </w:tcPr>
          <w:p w14:paraId="33E34E6A" w14:textId="77777777" w:rsidR="006C0A19" w:rsidRPr="006C0A19" w:rsidRDefault="006C0A19" w:rsidP="006C0A19">
            <w:pPr>
              <w:cnfStyle w:val="000000000000" w:firstRow="0" w:lastRow="0" w:firstColumn="0" w:lastColumn="0" w:oddVBand="0" w:evenVBand="0" w:oddHBand="0" w:evenHBand="0" w:firstRowFirstColumn="0" w:firstRowLastColumn="0" w:lastRowFirstColumn="0" w:lastRowLastColumn="0"/>
              <w:rPr>
                <w:rFonts w:ascii="Avenir Next LT Pro" w:eastAsia="Times New Roman" w:hAnsi="Avenir Next LT Pro" w:cs="Calibri"/>
                <w:color w:val="000000"/>
                <w:lang w:eastAsia="it-IT"/>
              </w:rPr>
            </w:pPr>
            <w:r w:rsidRPr="006C0A19">
              <w:rPr>
                <w:rFonts w:ascii="Avenir Next LT Pro" w:eastAsia="Times New Roman" w:hAnsi="Avenir Next LT Pro" w:cs="Calibri"/>
                <w:color w:val="000000"/>
                <w:lang w:eastAsia="it-IT"/>
              </w:rPr>
              <w:t>Pubblicato e aggiornato</w:t>
            </w:r>
          </w:p>
        </w:tc>
      </w:tr>
      <w:tr w:rsidR="006C0A19" w:rsidRPr="006C0A19" w14:paraId="24950624" w14:textId="77777777" w:rsidTr="006C0A19">
        <w:trPr>
          <w:cnfStyle w:val="000000100000" w:firstRow="0" w:lastRow="0" w:firstColumn="0" w:lastColumn="0" w:oddVBand="0" w:evenVBand="0" w:oddHBand="1" w:evenHBand="0" w:firstRowFirstColumn="0" w:firstRowLastColumn="0" w:lastRowFirstColumn="0" w:lastRowLastColumn="0"/>
          <w:trHeight w:val="324"/>
          <w:jc w:val="center"/>
        </w:trPr>
        <w:tc>
          <w:tcPr>
            <w:cnfStyle w:val="001000000000" w:firstRow="0" w:lastRow="0" w:firstColumn="1" w:lastColumn="0" w:oddVBand="0" w:evenVBand="0" w:oddHBand="0" w:evenHBand="0" w:firstRowFirstColumn="0" w:firstRowLastColumn="0" w:lastRowFirstColumn="0" w:lastRowLastColumn="0"/>
            <w:tcW w:w="4054" w:type="dxa"/>
            <w:noWrap/>
            <w:vAlign w:val="center"/>
            <w:hideMark/>
          </w:tcPr>
          <w:p w14:paraId="747300B0" w14:textId="77777777" w:rsidR="006C0A19" w:rsidRPr="006C0A19" w:rsidRDefault="006C0A19" w:rsidP="006C0A19">
            <w:pPr>
              <w:rPr>
                <w:rFonts w:ascii="Avenir Next LT Pro" w:eastAsia="Times New Roman" w:hAnsi="Avenir Next LT Pro" w:cs="Calibri"/>
                <w:color w:val="000000"/>
                <w:lang w:eastAsia="it-IT"/>
              </w:rPr>
            </w:pPr>
            <w:r w:rsidRPr="006C0A19">
              <w:rPr>
                <w:rFonts w:ascii="Avenir Next LT Pro" w:eastAsia="Times New Roman" w:hAnsi="Avenir Next LT Pro" w:cs="Calibri"/>
                <w:color w:val="000000"/>
                <w:lang w:eastAsia="it-IT"/>
              </w:rPr>
              <w:t>U Romagna Faentina</w:t>
            </w:r>
          </w:p>
        </w:tc>
        <w:tc>
          <w:tcPr>
            <w:tcW w:w="2604" w:type="dxa"/>
            <w:noWrap/>
            <w:hideMark/>
          </w:tcPr>
          <w:p w14:paraId="7AEE5738" w14:textId="77777777" w:rsidR="006C0A19" w:rsidRPr="006C0A19" w:rsidRDefault="006C0A19" w:rsidP="006C0A19">
            <w:pPr>
              <w:cnfStyle w:val="000000100000" w:firstRow="0" w:lastRow="0" w:firstColumn="0" w:lastColumn="0" w:oddVBand="0" w:evenVBand="0" w:oddHBand="1" w:evenHBand="0" w:firstRowFirstColumn="0" w:firstRowLastColumn="0" w:lastRowFirstColumn="0" w:lastRowLastColumn="0"/>
              <w:rPr>
                <w:rFonts w:ascii="Avenir Next LT Pro" w:eastAsia="Times New Roman" w:hAnsi="Avenir Next LT Pro" w:cs="Calibri"/>
                <w:color w:val="000000"/>
                <w:lang w:eastAsia="it-IT"/>
              </w:rPr>
            </w:pPr>
            <w:r w:rsidRPr="006C0A19">
              <w:rPr>
                <w:rFonts w:ascii="Avenir Next LT Pro" w:eastAsia="Times New Roman" w:hAnsi="Avenir Next LT Pro" w:cs="Calibri"/>
                <w:color w:val="000000"/>
                <w:lang w:eastAsia="it-IT"/>
              </w:rPr>
              <w:t>Pubblicato e aggiornato</w:t>
            </w:r>
          </w:p>
        </w:tc>
      </w:tr>
      <w:tr w:rsidR="006C0A19" w:rsidRPr="006C0A19" w14:paraId="35A19512" w14:textId="77777777" w:rsidTr="002D0D86">
        <w:trPr>
          <w:trHeight w:val="324"/>
          <w:jc w:val="center"/>
        </w:trPr>
        <w:tc>
          <w:tcPr>
            <w:cnfStyle w:val="001000000000" w:firstRow="0" w:lastRow="0" w:firstColumn="1" w:lastColumn="0" w:oddVBand="0" w:evenVBand="0" w:oddHBand="0" w:evenHBand="0" w:firstRowFirstColumn="0" w:firstRowLastColumn="0" w:lastRowFirstColumn="0" w:lastRowLastColumn="0"/>
            <w:tcW w:w="4054" w:type="dxa"/>
            <w:noWrap/>
            <w:vAlign w:val="center"/>
            <w:hideMark/>
          </w:tcPr>
          <w:p w14:paraId="0419643B" w14:textId="77777777" w:rsidR="006C0A19" w:rsidRPr="006C0A19" w:rsidRDefault="006C0A19" w:rsidP="006C0A19">
            <w:pPr>
              <w:rPr>
                <w:rFonts w:ascii="Avenir Next LT Pro" w:eastAsia="Times New Roman" w:hAnsi="Avenir Next LT Pro" w:cs="Calibri"/>
                <w:color w:val="000000"/>
                <w:lang w:eastAsia="it-IT"/>
              </w:rPr>
            </w:pPr>
            <w:r w:rsidRPr="006C0A19">
              <w:rPr>
                <w:rFonts w:ascii="Avenir Next LT Pro" w:eastAsia="Times New Roman" w:hAnsi="Avenir Next LT Pro" w:cs="Calibri"/>
                <w:color w:val="000000"/>
                <w:lang w:eastAsia="it-IT"/>
              </w:rPr>
              <w:t>UC Montani Appennino Pistoiese</w:t>
            </w:r>
          </w:p>
        </w:tc>
        <w:tc>
          <w:tcPr>
            <w:tcW w:w="2604" w:type="dxa"/>
            <w:noWrap/>
            <w:vAlign w:val="center"/>
            <w:hideMark/>
          </w:tcPr>
          <w:p w14:paraId="5D26D40B" w14:textId="77777777" w:rsidR="006C0A19" w:rsidRPr="006C0A19" w:rsidRDefault="006C0A19" w:rsidP="006C0A19">
            <w:pPr>
              <w:cnfStyle w:val="000000000000" w:firstRow="0" w:lastRow="0" w:firstColumn="0" w:lastColumn="0" w:oddVBand="0" w:evenVBand="0" w:oddHBand="0" w:evenHBand="0" w:firstRowFirstColumn="0" w:firstRowLastColumn="0" w:lastRowFirstColumn="0" w:lastRowLastColumn="0"/>
              <w:rPr>
                <w:rFonts w:ascii="Avenir Next LT Pro" w:eastAsia="Times New Roman" w:hAnsi="Avenir Next LT Pro" w:cs="Calibri"/>
                <w:color w:val="000000"/>
                <w:lang w:eastAsia="it-IT"/>
              </w:rPr>
            </w:pPr>
            <w:r w:rsidRPr="006C0A19">
              <w:rPr>
                <w:rFonts w:ascii="Avenir Next LT Pro" w:eastAsia="Times New Roman" w:hAnsi="Avenir Next LT Pro" w:cs="Calibri"/>
                <w:color w:val="000000"/>
                <w:lang w:eastAsia="it-IT"/>
              </w:rPr>
              <w:t>Pubblicato parzialmente</w:t>
            </w:r>
          </w:p>
        </w:tc>
      </w:tr>
      <w:tr w:rsidR="006C0A19" w:rsidRPr="006C0A19" w14:paraId="39460D6B" w14:textId="77777777" w:rsidTr="006C0A19">
        <w:trPr>
          <w:cnfStyle w:val="000000100000" w:firstRow="0" w:lastRow="0" w:firstColumn="0" w:lastColumn="0" w:oddVBand="0" w:evenVBand="0" w:oddHBand="1" w:evenHBand="0" w:firstRowFirstColumn="0" w:firstRowLastColumn="0" w:lastRowFirstColumn="0" w:lastRowLastColumn="0"/>
          <w:trHeight w:val="324"/>
          <w:jc w:val="center"/>
        </w:trPr>
        <w:tc>
          <w:tcPr>
            <w:cnfStyle w:val="001000000000" w:firstRow="0" w:lastRow="0" w:firstColumn="1" w:lastColumn="0" w:oddVBand="0" w:evenVBand="0" w:oddHBand="0" w:evenHBand="0" w:firstRowFirstColumn="0" w:firstRowLastColumn="0" w:lastRowFirstColumn="0" w:lastRowLastColumn="0"/>
            <w:tcW w:w="4054" w:type="dxa"/>
            <w:noWrap/>
            <w:vAlign w:val="center"/>
            <w:hideMark/>
          </w:tcPr>
          <w:p w14:paraId="12E09CAC" w14:textId="77777777" w:rsidR="006C0A19" w:rsidRPr="006C0A19" w:rsidRDefault="006C0A19" w:rsidP="006C0A19">
            <w:pPr>
              <w:rPr>
                <w:rFonts w:ascii="Avenir Next LT Pro" w:eastAsia="Times New Roman" w:hAnsi="Avenir Next LT Pro" w:cs="Calibri"/>
                <w:color w:val="000000"/>
                <w:lang w:eastAsia="it-IT"/>
              </w:rPr>
            </w:pPr>
            <w:r w:rsidRPr="006C0A19">
              <w:rPr>
                <w:rFonts w:ascii="Avenir Next LT Pro" w:eastAsia="Times New Roman" w:hAnsi="Avenir Next LT Pro" w:cs="Calibri"/>
                <w:color w:val="000000"/>
                <w:lang w:eastAsia="it-IT"/>
              </w:rPr>
              <w:t>U Reno Galliera</w:t>
            </w:r>
          </w:p>
        </w:tc>
        <w:tc>
          <w:tcPr>
            <w:tcW w:w="2604" w:type="dxa"/>
            <w:noWrap/>
            <w:vAlign w:val="center"/>
            <w:hideMark/>
          </w:tcPr>
          <w:p w14:paraId="4DE730C0" w14:textId="77777777" w:rsidR="006C0A19" w:rsidRPr="006C0A19" w:rsidRDefault="006C0A19" w:rsidP="006C0A19">
            <w:pPr>
              <w:cnfStyle w:val="000000100000" w:firstRow="0" w:lastRow="0" w:firstColumn="0" w:lastColumn="0" w:oddVBand="0" w:evenVBand="0" w:oddHBand="1" w:evenHBand="0" w:firstRowFirstColumn="0" w:firstRowLastColumn="0" w:lastRowFirstColumn="0" w:lastRowLastColumn="0"/>
              <w:rPr>
                <w:rFonts w:ascii="Avenir Next LT Pro" w:eastAsia="Times New Roman" w:hAnsi="Avenir Next LT Pro" w:cs="Calibri"/>
                <w:color w:val="000000"/>
                <w:lang w:eastAsia="it-IT"/>
              </w:rPr>
            </w:pPr>
            <w:r w:rsidRPr="006C0A19">
              <w:rPr>
                <w:rFonts w:ascii="Avenir Next LT Pro" w:eastAsia="Times New Roman" w:hAnsi="Avenir Next LT Pro" w:cs="Calibri"/>
                <w:color w:val="000000"/>
                <w:lang w:eastAsia="it-IT"/>
              </w:rPr>
              <w:t>Pubblicato parzialmente</w:t>
            </w:r>
          </w:p>
        </w:tc>
      </w:tr>
    </w:tbl>
    <w:p w14:paraId="4F7D8947" w14:textId="77777777" w:rsidR="006C0A19" w:rsidRPr="006C0A19" w:rsidRDefault="006C0A19" w:rsidP="006C0A19">
      <w:pPr>
        <w:keepNext/>
        <w:spacing w:before="120" w:after="200" w:line="276" w:lineRule="auto"/>
        <w:jc w:val="both"/>
        <w:rPr>
          <w:rFonts w:ascii="Avenir Next LT Pro" w:eastAsia="Palatino Linotype" w:hAnsi="Avenir Next LT Pro" w:cs="Palatino Linotype"/>
          <w:sz w:val="23"/>
        </w:rPr>
      </w:pPr>
      <w:r w:rsidRPr="006C0A19">
        <w:rPr>
          <w:rFonts w:ascii="Avenir Next LT Pro" w:eastAsia="MS Mincho" w:hAnsi="Avenir Next LT Pro" w:cs="Times New Roman"/>
          <w:sz w:val="20"/>
          <w:szCs w:val="20"/>
        </w:rPr>
        <w:t xml:space="preserve">Fonte: rielaborazione </w:t>
      </w:r>
      <w:r w:rsidRPr="006C0A19">
        <w:rPr>
          <w:rFonts w:ascii="Avenir Next LT Pro" w:eastAsia="Palatino Linotype" w:hAnsi="Avenir Next LT Pro" w:cs="Palatino Linotype"/>
          <w:sz w:val="20"/>
          <w:szCs w:val="20"/>
        </w:rPr>
        <w:t>da sezione Amministrazione Trasparente sui siti web delle Unioni</w:t>
      </w:r>
    </w:p>
    <w:p w14:paraId="1E08469B" w14:textId="77777777" w:rsidR="006C0A19" w:rsidRPr="006C0A19" w:rsidRDefault="006C0A19" w:rsidP="006C0A19">
      <w:pPr>
        <w:spacing w:after="200" w:line="276" w:lineRule="auto"/>
        <w:jc w:val="both"/>
        <w:rPr>
          <w:rFonts w:ascii="Avenir Next LT Pro" w:eastAsia="MS Mincho" w:hAnsi="Avenir Next LT Pro" w:cs="Times New Roman"/>
          <w:sz w:val="23"/>
        </w:rPr>
      </w:pPr>
    </w:p>
    <w:p w14:paraId="3E896BAB" w14:textId="77777777" w:rsidR="006C0A19" w:rsidRPr="006C0A19" w:rsidRDefault="006C0A19" w:rsidP="006C0A19">
      <w:pPr>
        <w:spacing w:after="200" w:line="276" w:lineRule="auto"/>
        <w:jc w:val="both"/>
        <w:rPr>
          <w:rFonts w:ascii="Avenir Next LT Pro" w:eastAsia="MS Mincho" w:hAnsi="Avenir Next LT Pro" w:cs="Times New Roman"/>
          <w:sz w:val="23"/>
        </w:rPr>
      </w:pPr>
      <w:r w:rsidRPr="006C0A19">
        <w:rPr>
          <w:rFonts w:ascii="Avenir Next LT Pro" w:eastAsia="MS Mincho" w:hAnsi="Avenir Next LT Pro" w:cs="Times New Roman"/>
          <w:sz w:val="23"/>
        </w:rPr>
        <w:t>È da tenere presente, tuttavia, che anche le cinque Unioni della tabella sopra non pubblicano un vero monitoraggio dei tempi medi: quattro Unioni su cinque indicano nella Relazione della Performance alcuni tempi medi di alcuni procedimenti, oltretutto in modo non facilmente individuabile. Solo l’Unione Appennino Pistoiese pubblica ancora la sottosezione “Monitoraggio dei tempi procedimentali” in Amministrazione Trasparente, sul proprio sito web, anche se si limita a riportare i tempi massimi di legge, come mostra la figura che segue.</w:t>
      </w:r>
    </w:p>
    <w:p w14:paraId="38F46446" w14:textId="77777777" w:rsidR="006C0A19" w:rsidRPr="006C0A19" w:rsidRDefault="006C0A19" w:rsidP="006C0A19">
      <w:pPr>
        <w:spacing w:after="200" w:line="276" w:lineRule="auto"/>
        <w:jc w:val="both"/>
        <w:rPr>
          <w:rFonts w:ascii="Avenir Next LT Pro" w:eastAsia="MS Mincho" w:hAnsi="Avenir Next LT Pro" w:cs="Times New Roman"/>
          <w:i/>
          <w:iCs/>
          <w:color w:val="082A75"/>
          <w:sz w:val="23"/>
          <w:szCs w:val="23"/>
          <w:highlight w:val="cyan"/>
        </w:rPr>
      </w:pPr>
    </w:p>
    <w:p w14:paraId="12B7B384" w14:textId="77777777" w:rsidR="006C0A19" w:rsidRPr="006C0A19" w:rsidRDefault="006C0A19" w:rsidP="006C0A19">
      <w:pPr>
        <w:keepNext/>
        <w:spacing w:after="200" w:line="240" w:lineRule="auto"/>
        <w:jc w:val="center"/>
        <w:rPr>
          <w:rFonts w:ascii="Avenir Next LT Pro" w:eastAsia="MS Mincho" w:hAnsi="Avenir Next LT Pro" w:cs="Times New Roman"/>
          <w:i/>
          <w:iCs/>
          <w:color w:val="082A75"/>
          <w:sz w:val="18"/>
          <w:szCs w:val="18"/>
        </w:rPr>
      </w:pPr>
      <w:bookmarkStart w:id="7" w:name="_Toc93171083"/>
      <w:r w:rsidRPr="006C0A19">
        <w:rPr>
          <w:rFonts w:ascii="Avenir Next LT Pro" w:eastAsia="MS Mincho" w:hAnsi="Avenir Next LT Pro" w:cs="Times New Roman"/>
          <w:i/>
          <w:iCs/>
          <w:color w:val="082A75"/>
          <w:sz w:val="18"/>
          <w:szCs w:val="18"/>
        </w:rPr>
        <w:lastRenderedPageBreak/>
        <w:t xml:space="preserve">Figura </w:t>
      </w:r>
      <w:r w:rsidRPr="006C0A19">
        <w:rPr>
          <w:rFonts w:ascii="Avenir Next LT Pro" w:eastAsia="MS Mincho" w:hAnsi="Avenir Next LT Pro" w:cs="Times New Roman"/>
          <w:i/>
          <w:iCs/>
          <w:color w:val="082A75"/>
          <w:sz w:val="18"/>
          <w:szCs w:val="18"/>
        </w:rPr>
        <w:fldChar w:fldCharType="begin"/>
      </w:r>
      <w:r w:rsidRPr="006C0A19">
        <w:rPr>
          <w:rFonts w:ascii="Avenir Next LT Pro" w:eastAsia="MS Mincho" w:hAnsi="Avenir Next LT Pro" w:cs="Times New Roman"/>
          <w:i/>
          <w:iCs/>
          <w:color w:val="082A75"/>
          <w:sz w:val="18"/>
          <w:szCs w:val="18"/>
        </w:rPr>
        <w:instrText xml:space="preserve"> SEQ Figura \* ARABIC </w:instrText>
      </w:r>
      <w:r w:rsidRPr="006C0A19">
        <w:rPr>
          <w:rFonts w:ascii="Avenir Next LT Pro" w:eastAsia="MS Mincho" w:hAnsi="Avenir Next LT Pro" w:cs="Times New Roman"/>
          <w:i/>
          <w:iCs/>
          <w:color w:val="082A75"/>
          <w:sz w:val="18"/>
          <w:szCs w:val="18"/>
        </w:rPr>
        <w:fldChar w:fldCharType="separate"/>
      </w:r>
      <w:r w:rsidRPr="006C0A19">
        <w:rPr>
          <w:rFonts w:ascii="Avenir Next LT Pro" w:eastAsia="MS Mincho" w:hAnsi="Avenir Next LT Pro" w:cs="Times New Roman"/>
          <w:i/>
          <w:iCs/>
          <w:noProof/>
          <w:color w:val="082A75"/>
          <w:sz w:val="18"/>
          <w:szCs w:val="18"/>
        </w:rPr>
        <w:t>29</w:t>
      </w:r>
      <w:r w:rsidRPr="006C0A19">
        <w:rPr>
          <w:rFonts w:ascii="Avenir Next LT Pro" w:eastAsia="MS Mincho" w:hAnsi="Avenir Next LT Pro" w:cs="Times New Roman"/>
          <w:i/>
          <w:iCs/>
          <w:noProof/>
          <w:color w:val="082A75"/>
          <w:sz w:val="18"/>
          <w:szCs w:val="18"/>
        </w:rPr>
        <w:fldChar w:fldCharType="end"/>
      </w:r>
      <w:r w:rsidRPr="006C0A19">
        <w:rPr>
          <w:rFonts w:ascii="Avenir Next LT Pro" w:eastAsia="MS Mincho" w:hAnsi="Avenir Next LT Pro" w:cs="Times New Roman"/>
          <w:i/>
          <w:iCs/>
          <w:color w:val="082A75"/>
          <w:sz w:val="18"/>
          <w:szCs w:val="18"/>
        </w:rPr>
        <w:t xml:space="preserve"> ESTRATTO DA SITO WEB DELL’UNIONE APPENNINO PISTOIESE – MONITORAGGIO TEMPI MEDI</w:t>
      </w:r>
      <w:bookmarkEnd w:id="7"/>
    </w:p>
    <w:p w14:paraId="2C6E7984" w14:textId="77777777" w:rsidR="006C0A19" w:rsidRPr="006C0A19" w:rsidRDefault="006C0A19" w:rsidP="006C0A19">
      <w:pPr>
        <w:spacing w:after="200" w:line="276" w:lineRule="auto"/>
        <w:jc w:val="center"/>
        <w:rPr>
          <w:rFonts w:ascii="Avenir Next LT Pro" w:eastAsia="MS Mincho" w:hAnsi="Avenir Next LT Pro" w:cs="Times New Roman"/>
          <w:sz w:val="23"/>
        </w:rPr>
      </w:pPr>
      <w:r w:rsidRPr="006C0A19">
        <w:rPr>
          <w:rFonts w:ascii="Avenir Next LT Pro" w:eastAsia="MS Mincho" w:hAnsi="Avenir Next LT Pro" w:cs="Times New Roman"/>
          <w:noProof/>
          <w:sz w:val="23"/>
        </w:rPr>
        <w:drawing>
          <wp:inline distT="0" distB="0" distL="0" distR="0" wp14:anchorId="2552491A" wp14:editId="60CB25A3">
            <wp:extent cx="6066790" cy="2936240"/>
            <wp:effectExtent l="0" t="0" r="0" b="0"/>
            <wp:docPr id="76" name="Immagine 76"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magine 76" descr="Immagine che contiene testo&#10;&#10;Descrizione generata automaticamente"/>
                    <pic:cNvPicPr/>
                  </pic:nvPicPr>
                  <pic:blipFill>
                    <a:blip r:embed="rId11"/>
                    <a:stretch>
                      <a:fillRect/>
                    </a:stretch>
                  </pic:blipFill>
                  <pic:spPr>
                    <a:xfrm>
                      <a:off x="0" y="0"/>
                      <a:ext cx="6066790" cy="2936240"/>
                    </a:xfrm>
                    <a:prstGeom prst="rect">
                      <a:avLst/>
                    </a:prstGeom>
                  </pic:spPr>
                </pic:pic>
              </a:graphicData>
            </a:graphic>
          </wp:inline>
        </w:drawing>
      </w:r>
    </w:p>
    <w:p w14:paraId="25387706" w14:textId="77777777" w:rsidR="006C0A19" w:rsidRPr="006C0A19" w:rsidRDefault="006C0A19" w:rsidP="006C0A19">
      <w:pPr>
        <w:spacing w:after="200" w:line="276" w:lineRule="auto"/>
        <w:jc w:val="both"/>
        <w:rPr>
          <w:rFonts w:ascii="Avenir Next LT Pro" w:eastAsia="MS Mincho" w:hAnsi="Avenir Next LT Pro" w:cs="Times New Roman"/>
          <w:smallCaps/>
          <w:kern w:val="24"/>
          <w:sz w:val="24"/>
          <w:szCs w:val="24"/>
        </w:rPr>
      </w:pPr>
    </w:p>
    <w:p w14:paraId="023AF242" w14:textId="77777777" w:rsidR="006C0A19" w:rsidRPr="006C0A19" w:rsidRDefault="006C0A19" w:rsidP="006C0A19">
      <w:pPr>
        <w:spacing w:after="60" w:line="312" w:lineRule="auto"/>
        <w:jc w:val="both"/>
        <w:rPr>
          <w:rFonts w:ascii="Avenir Next LT Pro" w:eastAsia="MS Mincho" w:hAnsi="Avenir Next LT Pro" w:cs="Times New Roman"/>
          <w:sz w:val="23"/>
        </w:rPr>
      </w:pPr>
    </w:p>
    <w:p w14:paraId="2A6C6F9F" w14:textId="77777777" w:rsidR="006C0A19" w:rsidRPr="006C0A19" w:rsidRDefault="006C0A19" w:rsidP="006C0A19">
      <w:pPr>
        <w:keepNext/>
        <w:keepLines/>
        <w:numPr>
          <w:ilvl w:val="2"/>
          <w:numId w:val="0"/>
        </w:numPr>
        <w:spacing w:after="240" w:line="288" w:lineRule="auto"/>
        <w:ind w:left="1440" w:hanging="720"/>
        <w:jc w:val="both"/>
        <w:outlineLvl w:val="2"/>
        <w:rPr>
          <w:rFonts w:ascii="Avenir Next LT Pro" w:eastAsia="MS Gothic" w:hAnsi="Avenir Next LT Pro" w:cs="Times New Roman"/>
          <w:b/>
          <w:color w:val="256D9D"/>
          <w:sz w:val="24"/>
          <w:szCs w:val="24"/>
        </w:rPr>
      </w:pPr>
      <w:bookmarkStart w:id="8" w:name="_Toc93168831"/>
      <w:r w:rsidRPr="006C0A19">
        <w:rPr>
          <w:rFonts w:ascii="Avenir Next LT Pro" w:eastAsia="MS Gothic" w:hAnsi="Avenir Next LT Pro" w:cs="Times New Roman"/>
          <w:b/>
          <w:color w:val="256D9D"/>
          <w:sz w:val="24"/>
          <w:szCs w:val="24"/>
        </w:rPr>
        <w:t>Servizi online</w:t>
      </w:r>
      <w:bookmarkEnd w:id="8"/>
    </w:p>
    <w:p w14:paraId="1D02EF99" w14:textId="77777777" w:rsidR="006C0A19" w:rsidRPr="006C0A19" w:rsidRDefault="006C0A19" w:rsidP="006C0A19">
      <w:pPr>
        <w:spacing w:after="60" w:line="312" w:lineRule="auto"/>
        <w:jc w:val="both"/>
        <w:rPr>
          <w:rFonts w:ascii="Avenir Next LT Pro" w:eastAsia="MS Mincho" w:hAnsi="Avenir Next LT Pro" w:cs="Times New Roman"/>
          <w:sz w:val="23"/>
        </w:rPr>
      </w:pPr>
      <w:r w:rsidRPr="006C0A19">
        <w:rPr>
          <w:rFonts w:ascii="Avenir Next LT Pro" w:eastAsia="MS Mincho" w:hAnsi="Avenir Next LT Pro" w:cs="Times New Roman"/>
          <w:sz w:val="23"/>
        </w:rPr>
        <w:t>La richiesta di servizi online da parte dei cittadini è andata aumentando nel tempo, riguardando una casistica sempre più ampia, che va dal pagamento delle multe alle domande di sussidi, dai servizi anagrafici a quelli scolastici, etc.</w:t>
      </w:r>
    </w:p>
    <w:p w14:paraId="14AE79FB" w14:textId="77777777" w:rsidR="006C0A19" w:rsidRPr="006C0A19" w:rsidRDefault="006C0A19" w:rsidP="006C0A19">
      <w:pPr>
        <w:spacing w:after="60" w:line="312" w:lineRule="auto"/>
        <w:jc w:val="both"/>
        <w:rPr>
          <w:rFonts w:ascii="Avenir Next LT Pro" w:eastAsia="MS Mincho" w:hAnsi="Avenir Next LT Pro" w:cs="Times New Roman"/>
          <w:sz w:val="23"/>
        </w:rPr>
      </w:pPr>
      <w:r w:rsidRPr="006C0A19">
        <w:rPr>
          <w:rFonts w:ascii="Avenir Next LT Pro" w:eastAsia="MS Mincho" w:hAnsi="Avenir Next LT Pro" w:cs="Times New Roman"/>
          <w:sz w:val="23"/>
        </w:rPr>
        <w:t>Alcune Unioni dedicano ai servizi online uno spazio ad hoc sul proprio sito, cui si accede direttamente dalla homepage; per altre, invece, si è costretti a ricorrere ai motori di ricerca, in sei casi senza alcun esito.</w:t>
      </w:r>
    </w:p>
    <w:p w14:paraId="048A4AE9" w14:textId="77777777" w:rsidR="006C0A19" w:rsidRPr="006C0A19" w:rsidRDefault="006C0A19" w:rsidP="006C0A19">
      <w:pPr>
        <w:spacing w:after="60" w:line="312" w:lineRule="auto"/>
        <w:jc w:val="both"/>
        <w:rPr>
          <w:rFonts w:ascii="Avenir Next LT Pro" w:eastAsia="MS Mincho" w:hAnsi="Avenir Next LT Pro" w:cs="Times New Roman"/>
          <w:sz w:val="23"/>
        </w:rPr>
      </w:pPr>
      <w:r w:rsidRPr="006C0A19">
        <w:rPr>
          <w:rFonts w:ascii="Avenir Next LT Pro" w:eastAsia="MS Mincho" w:hAnsi="Avenir Next LT Pro" w:cs="Times New Roman"/>
          <w:sz w:val="23"/>
        </w:rPr>
        <w:t>Le Unioni con il maggior numero di servizi online rilevabili sono le emiliane Taro e Ceno, Reno Galliera e Romagna Faentina.</w:t>
      </w:r>
    </w:p>
    <w:p w14:paraId="48686D03" w14:textId="77777777" w:rsidR="006C0A19" w:rsidRPr="006C0A19" w:rsidRDefault="006C0A19" w:rsidP="006C0A19">
      <w:pPr>
        <w:spacing w:after="60" w:line="312" w:lineRule="auto"/>
        <w:jc w:val="both"/>
        <w:rPr>
          <w:rFonts w:ascii="Avenir Next LT Pro" w:eastAsia="MS Mincho" w:hAnsi="Avenir Next LT Pro" w:cs="Times New Roman"/>
          <w:sz w:val="23"/>
        </w:rPr>
      </w:pPr>
    </w:p>
    <w:p w14:paraId="692AF7E9" w14:textId="77777777" w:rsidR="006C0A19" w:rsidRPr="006C0A19" w:rsidRDefault="006C0A19" w:rsidP="006C0A19">
      <w:pPr>
        <w:keepNext/>
        <w:spacing w:after="200" w:line="240" w:lineRule="auto"/>
        <w:rPr>
          <w:rFonts w:ascii="Avenir Next LT Pro" w:eastAsia="MS Mincho" w:hAnsi="Avenir Next LT Pro" w:cs="Times New Roman"/>
          <w:i/>
          <w:iCs/>
          <w:color w:val="082A75"/>
          <w:sz w:val="23"/>
          <w:szCs w:val="23"/>
        </w:rPr>
      </w:pPr>
      <w:r w:rsidRPr="006C0A19">
        <w:rPr>
          <w:rFonts w:ascii="Avenir Next LT Pro" w:eastAsia="MS Mincho" w:hAnsi="Avenir Next LT Pro" w:cs="Times New Roman"/>
          <w:i/>
          <w:iCs/>
          <w:color w:val="082A75"/>
          <w:sz w:val="23"/>
          <w:szCs w:val="23"/>
        </w:rPr>
        <w:lastRenderedPageBreak/>
        <w:t xml:space="preserve">    </w:t>
      </w:r>
      <w:bookmarkStart w:id="9" w:name="_Toc93171084"/>
      <w:r w:rsidRPr="006C0A19">
        <w:rPr>
          <w:rFonts w:ascii="Avenir Next LT Pro" w:eastAsia="MS Mincho" w:hAnsi="Avenir Next LT Pro" w:cs="Times New Roman"/>
          <w:i/>
          <w:iCs/>
          <w:color w:val="082A75"/>
          <w:sz w:val="23"/>
          <w:szCs w:val="23"/>
        </w:rPr>
        <w:t xml:space="preserve">Figura </w:t>
      </w:r>
      <w:r w:rsidRPr="006C0A19">
        <w:rPr>
          <w:rFonts w:ascii="Avenir Next LT Pro" w:eastAsia="MS Mincho" w:hAnsi="Avenir Next LT Pro" w:cs="Times New Roman"/>
          <w:i/>
          <w:iCs/>
          <w:color w:val="082A75"/>
          <w:sz w:val="23"/>
          <w:szCs w:val="23"/>
        </w:rPr>
        <w:fldChar w:fldCharType="begin"/>
      </w:r>
      <w:r w:rsidRPr="006C0A19">
        <w:rPr>
          <w:rFonts w:ascii="Avenir Next LT Pro" w:eastAsia="MS Mincho" w:hAnsi="Avenir Next LT Pro" w:cs="Times New Roman"/>
          <w:i/>
          <w:iCs/>
          <w:color w:val="082A75"/>
          <w:sz w:val="23"/>
          <w:szCs w:val="23"/>
        </w:rPr>
        <w:instrText xml:space="preserve"> SEQ Figura \* ARABIC </w:instrText>
      </w:r>
      <w:r w:rsidRPr="006C0A19">
        <w:rPr>
          <w:rFonts w:ascii="Avenir Next LT Pro" w:eastAsia="MS Mincho" w:hAnsi="Avenir Next LT Pro" w:cs="Times New Roman"/>
          <w:i/>
          <w:iCs/>
          <w:color w:val="082A75"/>
          <w:sz w:val="23"/>
          <w:szCs w:val="23"/>
        </w:rPr>
        <w:fldChar w:fldCharType="separate"/>
      </w:r>
      <w:r w:rsidRPr="006C0A19">
        <w:rPr>
          <w:rFonts w:ascii="Avenir Next LT Pro" w:eastAsia="MS Mincho" w:hAnsi="Avenir Next LT Pro" w:cs="Times New Roman"/>
          <w:i/>
          <w:iCs/>
          <w:noProof/>
          <w:color w:val="082A75"/>
          <w:sz w:val="23"/>
          <w:szCs w:val="23"/>
        </w:rPr>
        <w:t>30</w:t>
      </w:r>
      <w:r w:rsidRPr="006C0A19">
        <w:rPr>
          <w:rFonts w:ascii="Avenir Next LT Pro" w:eastAsia="MS Mincho" w:hAnsi="Avenir Next LT Pro" w:cs="Times New Roman"/>
          <w:i/>
          <w:iCs/>
          <w:color w:val="082A75"/>
          <w:sz w:val="23"/>
          <w:szCs w:val="23"/>
        </w:rPr>
        <w:fldChar w:fldCharType="end"/>
      </w:r>
      <w:r w:rsidRPr="006C0A19">
        <w:rPr>
          <w:rFonts w:ascii="Avenir Next LT Pro" w:eastAsia="MS Mincho" w:hAnsi="Avenir Next LT Pro" w:cs="Times New Roman"/>
          <w:i/>
          <w:iCs/>
          <w:color w:val="082A75"/>
          <w:sz w:val="23"/>
          <w:szCs w:val="23"/>
        </w:rPr>
        <w:t xml:space="preserve"> ESTRATTO DA SITO WEB DELL’UNIONE RENO GALLIERA – SERVIZI ONLINE</w:t>
      </w:r>
      <w:bookmarkEnd w:id="9"/>
    </w:p>
    <w:p w14:paraId="30758E19" w14:textId="77777777" w:rsidR="006C0A19" w:rsidRPr="006C0A19" w:rsidRDefault="006C0A19" w:rsidP="006C0A19">
      <w:pPr>
        <w:spacing w:after="60" w:line="312" w:lineRule="auto"/>
        <w:jc w:val="center"/>
        <w:rPr>
          <w:rFonts w:ascii="Avenir Next LT Pro" w:eastAsia="MS Mincho" w:hAnsi="Avenir Next LT Pro" w:cs="Times New Roman"/>
          <w:sz w:val="23"/>
        </w:rPr>
      </w:pPr>
      <w:r w:rsidRPr="006C0A19">
        <w:rPr>
          <w:rFonts w:ascii="Avenir Next LT Pro" w:eastAsia="MS Mincho" w:hAnsi="Avenir Next LT Pro" w:cs="Times New Roman"/>
          <w:noProof/>
          <w:sz w:val="23"/>
        </w:rPr>
        <w:drawing>
          <wp:inline distT="0" distB="0" distL="0" distR="0" wp14:anchorId="6C6FCB15" wp14:editId="17CEE1E9">
            <wp:extent cx="4973184" cy="5570220"/>
            <wp:effectExtent l="0" t="0" r="0" b="0"/>
            <wp:docPr id="90" name="Immagine 90"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magine 90" descr="Immagine che contiene testo&#10;&#10;Descrizione generata automaticamente"/>
                    <pic:cNvPicPr/>
                  </pic:nvPicPr>
                  <pic:blipFill>
                    <a:blip r:embed="rId12"/>
                    <a:stretch>
                      <a:fillRect/>
                    </a:stretch>
                  </pic:blipFill>
                  <pic:spPr>
                    <a:xfrm>
                      <a:off x="0" y="0"/>
                      <a:ext cx="4977668" cy="5575243"/>
                    </a:xfrm>
                    <a:prstGeom prst="rect">
                      <a:avLst/>
                    </a:prstGeom>
                  </pic:spPr>
                </pic:pic>
              </a:graphicData>
            </a:graphic>
          </wp:inline>
        </w:drawing>
      </w:r>
    </w:p>
    <w:p w14:paraId="28D91080" w14:textId="77777777" w:rsidR="006C0A19" w:rsidRPr="006C0A19" w:rsidRDefault="006C0A19" w:rsidP="006C0A19">
      <w:pPr>
        <w:spacing w:after="60" w:line="312" w:lineRule="auto"/>
        <w:jc w:val="both"/>
        <w:rPr>
          <w:rFonts w:ascii="Avenir Next LT Pro" w:eastAsia="MS Mincho" w:hAnsi="Avenir Next LT Pro" w:cs="Times New Roman"/>
          <w:sz w:val="23"/>
        </w:rPr>
      </w:pPr>
    </w:p>
    <w:p w14:paraId="2A5AD9EA" w14:textId="77777777" w:rsidR="006C0A19" w:rsidRPr="006C0A19" w:rsidRDefault="006C0A19" w:rsidP="006C0A19">
      <w:pPr>
        <w:spacing w:after="60" w:line="312" w:lineRule="auto"/>
        <w:jc w:val="both"/>
        <w:rPr>
          <w:rFonts w:ascii="Avenir Next LT Pro" w:eastAsia="MS Mincho" w:hAnsi="Avenir Next LT Pro" w:cs="Times New Roman"/>
          <w:sz w:val="23"/>
        </w:rPr>
      </w:pPr>
      <w:r w:rsidRPr="006C0A19">
        <w:rPr>
          <w:rFonts w:ascii="Avenir Next LT Pro" w:eastAsia="MS Mincho" w:hAnsi="Avenir Next LT Pro" w:cs="Times New Roman"/>
          <w:sz w:val="23"/>
        </w:rPr>
        <w:t>Le Unioni, invece, con il minor numero di servizi online sono la campana Terre dell’</w:t>
      </w:r>
      <w:proofErr w:type="spellStart"/>
      <w:r w:rsidRPr="006C0A19">
        <w:rPr>
          <w:rFonts w:ascii="Avenir Next LT Pro" w:eastAsia="MS Mincho" w:hAnsi="Avenir Next LT Pro" w:cs="Times New Roman"/>
          <w:sz w:val="23"/>
        </w:rPr>
        <w:t>Ufita</w:t>
      </w:r>
      <w:proofErr w:type="spellEnd"/>
      <w:r w:rsidRPr="006C0A19">
        <w:rPr>
          <w:rFonts w:ascii="Avenir Next LT Pro" w:eastAsia="MS Mincho" w:hAnsi="Avenir Next LT Pro" w:cs="Times New Roman"/>
          <w:sz w:val="23"/>
        </w:rPr>
        <w:t xml:space="preserve"> e la piemontese Valli Orco e Soana.</w:t>
      </w:r>
    </w:p>
    <w:p w14:paraId="7A66B08F" w14:textId="77777777" w:rsidR="006C0A19" w:rsidRPr="006C0A19" w:rsidRDefault="006C0A19" w:rsidP="006C0A19">
      <w:pPr>
        <w:spacing w:after="200" w:line="276" w:lineRule="auto"/>
        <w:jc w:val="both"/>
        <w:rPr>
          <w:rFonts w:ascii="Avenir Next LT Pro" w:eastAsia="MS Mincho" w:hAnsi="Avenir Next LT Pro" w:cs="Times New Roman"/>
          <w:smallCaps/>
          <w:kern w:val="24"/>
          <w:sz w:val="24"/>
          <w:szCs w:val="24"/>
        </w:rPr>
      </w:pPr>
    </w:p>
    <w:p w14:paraId="509053E3" w14:textId="77777777" w:rsidR="006C0A19" w:rsidRPr="006C0A19" w:rsidRDefault="006C0A19" w:rsidP="006C0A19">
      <w:pPr>
        <w:keepNext/>
        <w:spacing w:after="200" w:line="240" w:lineRule="auto"/>
        <w:jc w:val="both"/>
        <w:rPr>
          <w:rFonts w:ascii="Avenir Next LT Pro" w:eastAsia="MS Mincho" w:hAnsi="Avenir Next LT Pro" w:cs="Times New Roman"/>
          <w:i/>
          <w:iCs/>
          <w:color w:val="082A75"/>
          <w:sz w:val="23"/>
          <w:szCs w:val="23"/>
        </w:rPr>
      </w:pPr>
      <w:r w:rsidRPr="006C0A19">
        <w:rPr>
          <w:rFonts w:ascii="Avenir Next LT Pro" w:eastAsia="MS Mincho" w:hAnsi="Avenir Next LT Pro" w:cs="Times New Roman"/>
          <w:i/>
          <w:iCs/>
          <w:color w:val="082A75"/>
          <w:sz w:val="23"/>
          <w:szCs w:val="23"/>
        </w:rPr>
        <w:lastRenderedPageBreak/>
        <w:t xml:space="preserve">  </w:t>
      </w:r>
      <w:bookmarkStart w:id="10" w:name="_Toc93171085"/>
      <w:r w:rsidRPr="006C0A19">
        <w:rPr>
          <w:rFonts w:ascii="Avenir Next LT Pro" w:eastAsia="MS Mincho" w:hAnsi="Avenir Next LT Pro" w:cs="Times New Roman"/>
          <w:i/>
          <w:iCs/>
          <w:color w:val="082A75"/>
          <w:sz w:val="23"/>
          <w:szCs w:val="23"/>
        </w:rPr>
        <w:t xml:space="preserve">Figura </w:t>
      </w:r>
      <w:r w:rsidRPr="006C0A19">
        <w:rPr>
          <w:rFonts w:ascii="Avenir Next LT Pro" w:eastAsia="MS Mincho" w:hAnsi="Avenir Next LT Pro" w:cs="Times New Roman"/>
          <w:i/>
          <w:iCs/>
          <w:color w:val="082A75"/>
          <w:sz w:val="23"/>
          <w:szCs w:val="23"/>
        </w:rPr>
        <w:fldChar w:fldCharType="begin"/>
      </w:r>
      <w:r w:rsidRPr="006C0A19">
        <w:rPr>
          <w:rFonts w:ascii="Avenir Next LT Pro" w:eastAsia="MS Mincho" w:hAnsi="Avenir Next LT Pro" w:cs="Times New Roman"/>
          <w:i/>
          <w:iCs/>
          <w:color w:val="082A75"/>
          <w:sz w:val="23"/>
          <w:szCs w:val="23"/>
        </w:rPr>
        <w:instrText xml:space="preserve"> SEQ Figura \* ARABIC </w:instrText>
      </w:r>
      <w:r w:rsidRPr="006C0A19">
        <w:rPr>
          <w:rFonts w:ascii="Avenir Next LT Pro" w:eastAsia="MS Mincho" w:hAnsi="Avenir Next LT Pro" w:cs="Times New Roman"/>
          <w:i/>
          <w:iCs/>
          <w:color w:val="082A75"/>
          <w:sz w:val="23"/>
          <w:szCs w:val="23"/>
        </w:rPr>
        <w:fldChar w:fldCharType="separate"/>
      </w:r>
      <w:r w:rsidRPr="006C0A19">
        <w:rPr>
          <w:rFonts w:ascii="Avenir Next LT Pro" w:eastAsia="MS Mincho" w:hAnsi="Avenir Next LT Pro" w:cs="Times New Roman"/>
          <w:i/>
          <w:iCs/>
          <w:noProof/>
          <w:color w:val="082A75"/>
          <w:sz w:val="23"/>
          <w:szCs w:val="23"/>
        </w:rPr>
        <w:t>31</w:t>
      </w:r>
      <w:r w:rsidRPr="006C0A19">
        <w:rPr>
          <w:rFonts w:ascii="Avenir Next LT Pro" w:eastAsia="MS Mincho" w:hAnsi="Avenir Next LT Pro" w:cs="Times New Roman"/>
          <w:i/>
          <w:iCs/>
          <w:color w:val="082A75"/>
          <w:sz w:val="23"/>
          <w:szCs w:val="23"/>
        </w:rPr>
        <w:fldChar w:fldCharType="end"/>
      </w:r>
      <w:r w:rsidRPr="006C0A19">
        <w:rPr>
          <w:rFonts w:ascii="Avenir Next LT Pro" w:eastAsia="MS Mincho" w:hAnsi="Avenir Next LT Pro" w:cs="Times New Roman"/>
          <w:i/>
          <w:iCs/>
          <w:color w:val="082A75"/>
          <w:sz w:val="23"/>
          <w:szCs w:val="23"/>
        </w:rPr>
        <w:t xml:space="preserve"> SERVIZI ONLINE RILEVABILI (numero)</w:t>
      </w:r>
      <w:bookmarkEnd w:id="10"/>
      <w:r w:rsidRPr="006C0A19">
        <w:rPr>
          <w:rFonts w:ascii="Avenir Next LT Pro" w:eastAsia="MS Mincho" w:hAnsi="Avenir Next LT Pro" w:cs="Times New Roman"/>
          <w:i/>
          <w:iCs/>
          <w:color w:val="082A75"/>
          <w:sz w:val="23"/>
          <w:szCs w:val="23"/>
        </w:rPr>
        <w:t xml:space="preserve"> </w:t>
      </w:r>
    </w:p>
    <w:p w14:paraId="4BEF01B5" w14:textId="77777777" w:rsidR="006C0A19" w:rsidRPr="006C0A19" w:rsidRDefault="006C0A19" w:rsidP="006C0A19">
      <w:pPr>
        <w:keepNext/>
        <w:keepLines/>
        <w:spacing w:after="200" w:line="276" w:lineRule="auto"/>
        <w:jc w:val="both"/>
        <w:rPr>
          <w:rFonts w:ascii="Avenir Next LT Pro" w:eastAsia="MS Mincho" w:hAnsi="Avenir Next LT Pro" w:cs="Times New Roman"/>
          <w:smallCaps/>
          <w:kern w:val="24"/>
          <w:sz w:val="24"/>
          <w:szCs w:val="24"/>
        </w:rPr>
      </w:pPr>
      <w:r w:rsidRPr="006C0A19">
        <w:rPr>
          <w:rFonts w:ascii="Avenir Next LT Pro" w:eastAsia="MS Mincho" w:hAnsi="Avenir Next LT Pro" w:cs="Times New Roman"/>
          <w:noProof/>
          <w:sz w:val="23"/>
        </w:rPr>
        <w:drawing>
          <wp:inline distT="0" distB="0" distL="0" distR="0" wp14:anchorId="76BD7617" wp14:editId="5D685760">
            <wp:extent cx="6516060" cy="4049395"/>
            <wp:effectExtent l="0" t="0" r="0" b="8255"/>
            <wp:docPr id="46" name="Grafico 46">
              <a:extLst xmlns:a="http://schemas.openxmlformats.org/drawingml/2006/main">
                <a:ext uri="{FF2B5EF4-FFF2-40B4-BE49-F238E27FC236}">
                  <a16:creationId xmlns:a16="http://schemas.microsoft.com/office/drawing/2014/main" id="{E718D6D8-6D0A-469E-A3F5-77B5C9F3F2A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B215938" w14:textId="77777777" w:rsidR="006C0A19" w:rsidRPr="006C0A19" w:rsidRDefault="006C0A19" w:rsidP="006C0A19">
      <w:pPr>
        <w:keepNext/>
        <w:keepLines/>
        <w:spacing w:before="120" w:after="200" w:line="276" w:lineRule="auto"/>
        <w:jc w:val="both"/>
        <w:rPr>
          <w:rFonts w:ascii="Avenir Next LT Pro" w:eastAsia="Palatino Linotype" w:hAnsi="Avenir Next LT Pro" w:cs="Palatino Linotype"/>
          <w:sz w:val="23"/>
        </w:rPr>
      </w:pPr>
      <w:r w:rsidRPr="006C0A19">
        <w:rPr>
          <w:rFonts w:ascii="Avenir Next LT Pro" w:eastAsia="MS Mincho" w:hAnsi="Avenir Next LT Pro" w:cs="Times New Roman"/>
          <w:sz w:val="20"/>
          <w:szCs w:val="20"/>
        </w:rPr>
        <w:t xml:space="preserve">Fonte: </w:t>
      </w:r>
      <w:r w:rsidRPr="006C0A19">
        <w:rPr>
          <w:rFonts w:ascii="Avenir Next LT Pro" w:eastAsia="Palatino Linotype" w:hAnsi="Avenir Next LT Pro" w:cs="Palatino Linotype"/>
          <w:sz w:val="20"/>
          <w:szCs w:val="20"/>
        </w:rPr>
        <w:t>rielaborazione dati da siti web delle Unioni</w:t>
      </w:r>
    </w:p>
    <w:p w14:paraId="3968725D" w14:textId="77777777" w:rsidR="006C0A19" w:rsidRPr="006C0A19" w:rsidRDefault="006C0A19" w:rsidP="006C0A19">
      <w:pPr>
        <w:spacing w:after="200" w:line="276" w:lineRule="auto"/>
        <w:jc w:val="both"/>
        <w:rPr>
          <w:rFonts w:ascii="Avenir Next LT Pro" w:eastAsia="MS Mincho" w:hAnsi="Avenir Next LT Pro" w:cs="Times New Roman"/>
          <w:smallCaps/>
          <w:kern w:val="24"/>
          <w:sz w:val="24"/>
          <w:szCs w:val="24"/>
        </w:rPr>
      </w:pPr>
    </w:p>
    <w:p w14:paraId="76F83C63" w14:textId="77777777" w:rsidR="006C0A19" w:rsidRPr="006C0A19" w:rsidRDefault="006C0A19" w:rsidP="006C0A19">
      <w:pPr>
        <w:spacing w:after="200" w:line="276" w:lineRule="auto"/>
        <w:jc w:val="both"/>
        <w:rPr>
          <w:rFonts w:ascii="Avenir Next LT Pro" w:eastAsia="MS Mincho" w:hAnsi="Avenir Next LT Pro" w:cs="Times New Roman"/>
          <w:smallCaps/>
          <w:kern w:val="24"/>
          <w:sz w:val="24"/>
          <w:szCs w:val="24"/>
        </w:rPr>
      </w:pPr>
    </w:p>
    <w:p w14:paraId="2C31A3AB" w14:textId="77777777" w:rsidR="006C0A19" w:rsidRPr="006C0A19" w:rsidRDefault="006C0A19" w:rsidP="006C0A19">
      <w:pPr>
        <w:keepNext/>
        <w:keepLines/>
        <w:numPr>
          <w:ilvl w:val="2"/>
          <w:numId w:val="0"/>
        </w:numPr>
        <w:spacing w:after="240" w:line="288" w:lineRule="auto"/>
        <w:ind w:left="1440" w:hanging="720"/>
        <w:jc w:val="both"/>
        <w:outlineLvl w:val="2"/>
        <w:rPr>
          <w:rFonts w:ascii="Avenir Next LT Pro" w:eastAsia="MS Gothic" w:hAnsi="Avenir Next LT Pro" w:cs="Times New Roman"/>
          <w:b/>
          <w:color w:val="256D9D"/>
          <w:sz w:val="24"/>
          <w:szCs w:val="24"/>
        </w:rPr>
      </w:pPr>
      <w:bookmarkStart w:id="11" w:name="_Toc93168832"/>
      <w:r w:rsidRPr="006C0A19">
        <w:rPr>
          <w:rFonts w:ascii="Avenir Next LT Pro" w:eastAsia="MS Gothic" w:hAnsi="Avenir Next LT Pro" w:cs="Times New Roman"/>
          <w:b/>
          <w:color w:val="256D9D"/>
          <w:sz w:val="24"/>
          <w:szCs w:val="24"/>
        </w:rPr>
        <w:t>Coinvolgimento dei cittadini</w:t>
      </w:r>
      <w:bookmarkEnd w:id="11"/>
    </w:p>
    <w:p w14:paraId="07609AC9" w14:textId="77777777" w:rsidR="006C0A19" w:rsidRPr="006C0A19" w:rsidRDefault="006C0A19" w:rsidP="006C0A19">
      <w:pPr>
        <w:spacing w:after="60" w:line="312" w:lineRule="auto"/>
        <w:jc w:val="both"/>
        <w:rPr>
          <w:rFonts w:ascii="Avenir Next LT Pro" w:eastAsia="MS Mincho" w:hAnsi="Avenir Next LT Pro" w:cs="Times New Roman"/>
          <w:sz w:val="23"/>
        </w:rPr>
      </w:pPr>
      <w:r w:rsidRPr="006C0A19">
        <w:rPr>
          <w:rFonts w:ascii="Avenir Next LT Pro" w:eastAsia="MS Mincho" w:hAnsi="Avenir Next LT Pro" w:cs="Times New Roman"/>
          <w:sz w:val="23"/>
        </w:rPr>
        <w:t>L’indicatore relativo al coinvolgimento dei cittadini verifica se l'ente realizza progetti innovativi in termini non di mera partecipazione passiva dei cittadini, ma di una loro effettiva inclusione nelle principali attività pubbliche. In particolare, vengono considerate solo le iniziative in cui ai cittadini viene attribuito un ruolo attivo chiaro e riconosciuto: non la semplice partecipazione a un evento pubblico, come, ad esempio, la cosiddetta “notte bianca”, ma il loro effettivo coinvolgimento, ad esempio, su quale progetto sociale finanziare o su quale variante urbanistica approvare</w:t>
      </w:r>
      <w:r w:rsidRPr="006C0A19">
        <w:rPr>
          <w:rFonts w:ascii="Avenir Next LT Pro" w:eastAsia="MS Mincho" w:hAnsi="Avenir Next LT Pro" w:cs="Times New Roman"/>
          <w:sz w:val="23"/>
          <w:vertAlign w:val="superscript"/>
        </w:rPr>
        <w:footnoteReference w:id="4"/>
      </w:r>
      <w:r w:rsidRPr="006C0A19">
        <w:rPr>
          <w:rFonts w:ascii="Avenir Next LT Pro" w:eastAsia="MS Mincho" w:hAnsi="Avenir Next LT Pro" w:cs="Times New Roman"/>
          <w:sz w:val="23"/>
        </w:rPr>
        <w:t xml:space="preserve">. </w:t>
      </w:r>
    </w:p>
    <w:p w14:paraId="201EC552" w14:textId="77777777" w:rsidR="006C0A19" w:rsidRPr="006C0A19" w:rsidRDefault="006C0A19" w:rsidP="006C0A19">
      <w:pPr>
        <w:spacing w:after="60" w:line="312" w:lineRule="auto"/>
        <w:jc w:val="both"/>
        <w:rPr>
          <w:rFonts w:ascii="Avenir Next LT Pro" w:eastAsia="MS Mincho" w:hAnsi="Avenir Next LT Pro" w:cs="Times New Roman"/>
          <w:sz w:val="23"/>
        </w:rPr>
      </w:pPr>
      <w:r w:rsidRPr="006C0A19">
        <w:rPr>
          <w:rFonts w:ascii="Avenir Next LT Pro" w:eastAsia="MS Mincho" w:hAnsi="Avenir Next LT Pro" w:cs="Times New Roman"/>
          <w:sz w:val="23"/>
        </w:rPr>
        <w:t xml:space="preserve">Il risultato dell’analisi rivela che diciotto Unioni del campione non hanno istituito strumenti partecipativi per il coinvolgimento dei cittadini, o, quantomeno, non li hanno rendicontati in modo chiaro sui canali pubblici (sito web, media). </w:t>
      </w:r>
    </w:p>
    <w:p w14:paraId="5784AC63" w14:textId="77777777" w:rsidR="006C0A19" w:rsidRPr="006C0A19" w:rsidRDefault="006C0A19" w:rsidP="006C0A19">
      <w:pPr>
        <w:spacing w:after="60" w:line="312" w:lineRule="auto"/>
        <w:jc w:val="both"/>
        <w:rPr>
          <w:rFonts w:ascii="Avenir Next LT Pro" w:eastAsia="MS Mincho" w:hAnsi="Avenir Next LT Pro" w:cs="Times New Roman"/>
          <w:sz w:val="23"/>
        </w:rPr>
      </w:pPr>
      <w:r w:rsidRPr="006C0A19">
        <w:rPr>
          <w:rFonts w:ascii="Avenir Next LT Pro" w:eastAsia="MS Mincho" w:hAnsi="Avenir Next LT Pro" w:cs="Times New Roman"/>
          <w:sz w:val="23"/>
        </w:rPr>
        <w:lastRenderedPageBreak/>
        <w:t xml:space="preserve">Tenendo conto non solo del numero delle iniziative promosse, ma anche della fruibilità e facilità di accesso all’informazione, l’Unione </w:t>
      </w:r>
      <w:r w:rsidRPr="006C0A19">
        <w:rPr>
          <w:rFonts w:ascii="Avenir Next LT Pro" w:eastAsia="MS Mincho" w:hAnsi="Avenir Next LT Pro" w:cs="Times New Roman"/>
          <w:i/>
          <w:sz w:val="23"/>
        </w:rPr>
        <w:t>benchmark</w:t>
      </w:r>
      <w:r w:rsidRPr="006C0A19">
        <w:rPr>
          <w:rFonts w:ascii="Avenir Next LT Pro" w:eastAsia="MS Mincho" w:hAnsi="Avenir Next LT Pro" w:cs="Times New Roman"/>
          <w:sz w:val="23"/>
        </w:rPr>
        <w:t xml:space="preserve"> è la Romagna Faentina.</w:t>
      </w:r>
    </w:p>
    <w:p w14:paraId="17D62464" w14:textId="77777777" w:rsidR="006C0A19" w:rsidRPr="006C0A19" w:rsidRDefault="006C0A19" w:rsidP="006C0A19">
      <w:pPr>
        <w:spacing w:after="60" w:line="312" w:lineRule="auto"/>
        <w:jc w:val="both"/>
        <w:rPr>
          <w:rFonts w:ascii="Avenir Next LT Pro" w:eastAsia="MS Mincho" w:hAnsi="Avenir Next LT Pro" w:cs="Times New Roman"/>
          <w:sz w:val="23"/>
        </w:rPr>
      </w:pPr>
      <w:r w:rsidRPr="006C0A19">
        <w:rPr>
          <w:rFonts w:ascii="Avenir Next LT Pro" w:eastAsia="MS Mincho" w:hAnsi="Avenir Next LT Pro" w:cs="Times New Roman"/>
          <w:sz w:val="23"/>
        </w:rPr>
        <w:t xml:space="preserve">Score massimo è stato attribuito anche ad altre tre Unioni: Valdera, Madonie e Valle del Savio. </w:t>
      </w:r>
    </w:p>
    <w:p w14:paraId="0D3EBC51" w14:textId="77777777" w:rsidR="006C0A19" w:rsidRPr="006C0A19" w:rsidRDefault="006C0A19" w:rsidP="006C0A19">
      <w:pPr>
        <w:spacing w:after="60" w:line="312" w:lineRule="auto"/>
        <w:jc w:val="both"/>
        <w:rPr>
          <w:rFonts w:ascii="Avenir Next LT Pro" w:eastAsia="MS Mincho" w:hAnsi="Avenir Next LT Pro" w:cs="Times New Roman"/>
          <w:sz w:val="23"/>
        </w:rPr>
      </w:pPr>
      <w:r w:rsidRPr="006C0A19">
        <w:rPr>
          <w:rFonts w:ascii="Avenir Next LT Pro" w:eastAsia="MS Mincho" w:hAnsi="Avenir Next LT Pro" w:cs="Times New Roman"/>
          <w:sz w:val="23"/>
        </w:rPr>
        <w:t>La Valdelsa, invece, si distingue non per il numero di iniziative, ma perché è l’unica Unione ad aver previsto una specifica sezione intitolata “strumenti di partecipazione” nel proprio sito web.</w:t>
      </w:r>
    </w:p>
    <w:p w14:paraId="3ACB1471" w14:textId="77777777" w:rsidR="006C0A19" w:rsidRPr="006C0A19" w:rsidRDefault="006C0A19" w:rsidP="006C0A19">
      <w:pPr>
        <w:spacing w:after="200" w:line="276" w:lineRule="auto"/>
        <w:jc w:val="both"/>
        <w:rPr>
          <w:rFonts w:ascii="Avenir Next LT Pro" w:eastAsia="MS Mincho" w:hAnsi="Avenir Next LT Pro" w:cs="Times New Roman"/>
          <w:smallCaps/>
          <w:kern w:val="24"/>
          <w:sz w:val="24"/>
          <w:szCs w:val="24"/>
        </w:rPr>
      </w:pPr>
    </w:p>
    <w:p w14:paraId="1BDC028D" w14:textId="77777777" w:rsidR="006C0A19" w:rsidRPr="006C0A19" w:rsidRDefault="006C0A19" w:rsidP="006C0A19">
      <w:pPr>
        <w:keepNext/>
        <w:spacing w:after="200" w:line="240" w:lineRule="auto"/>
        <w:jc w:val="both"/>
        <w:rPr>
          <w:rFonts w:ascii="Avenir Next LT Pro" w:eastAsia="MS Mincho" w:hAnsi="Avenir Next LT Pro" w:cs="Times New Roman"/>
          <w:i/>
          <w:iCs/>
          <w:color w:val="082A75"/>
          <w:sz w:val="23"/>
          <w:szCs w:val="23"/>
        </w:rPr>
      </w:pPr>
      <w:bookmarkStart w:id="12" w:name="_Toc93171086"/>
      <w:r w:rsidRPr="006C0A19">
        <w:rPr>
          <w:rFonts w:ascii="Avenir Next LT Pro" w:eastAsia="MS Mincho" w:hAnsi="Avenir Next LT Pro" w:cs="Times New Roman"/>
          <w:i/>
          <w:iCs/>
          <w:color w:val="082A75"/>
          <w:sz w:val="23"/>
          <w:szCs w:val="23"/>
        </w:rPr>
        <w:t xml:space="preserve">Figura </w:t>
      </w:r>
      <w:r w:rsidRPr="006C0A19">
        <w:rPr>
          <w:rFonts w:ascii="Avenir Next LT Pro" w:eastAsia="MS Mincho" w:hAnsi="Avenir Next LT Pro" w:cs="Times New Roman"/>
          <w:i/>
          <w:iCs/>
          <w:color w:val="082A75"/>
          <w:sz w:val="23"/>
          <w:szCs w:val="23"/>
        </w:rPr>
        <w:fldChar w:fldCharType="begin"/>
      </w:r>
      <w:r w:rsidRPr="006C0A19">
        <w:rPr>
          <w:rFonts w:ascii="Avenir Next LT Pro" w:eastAsia="MS Mincho" w:hAnsi="Avenir Next LT Pro" w:cs="Times New Roman"/>
          <w:i/>
          <w:iCs/>
          <w:color w:val="082A75"/>
          <w:sz w:val="23"/>
          <w:szCs w:val="23"/>
        </w:rPr>
        <w:instrText xml:space="preserve"> SEQ Figura \* ARABIC </w:instrText>
      </w:r>
      <w:r w:rsidRPr="006C0A19">
        <w:rPr>
          <w:rFonts w:ascii="Avenir Next LT Pro" w:eastAsia="MS Mincho" w:hAnsi="Avenir Next LT Pro" w:cs="Times New Roman"/>
          <w:i/>
          <w:iCs/>
          <w:color w:val="082A75"/>
          <w:sz w:val="23"/>
          <w:szCs w:val="23"/>
        </w:rPr>
        <w:fldChar w:fldCharType="separate"/>
      </w:r>
      <w:r w:rsidRPr="006C0A19">
        <w:rPr>
          <w:rFonts w:ascii="Avenir Next LT Pro" w:eastAsia="MS Mincho" w:hAnsi="Avenir Next LT Pro" w:cs="Times New Roman"/>
          <w:i/>
          <w:iCs/>
          <w:noProof/>
          <w:color w:val="082A75"/>
          <w:sz w:val="23"/>
          <w:szCs w:val="23"/>
        </w:rPr>
        <w:t>32</w:t>
      </w:r>
      <w:r w:rsidRPr="006C0A19">
        <w:rPr>
          <w:rFonts w:ascii="Avenir Next LT Pro" w:eastAsia="MS Mincho" w:hAnsi="Avenir Next LT Pro" w:cs="Times New Roman"/>
          <w:i/>
          <w:iCs/>
          <w:color w:val="082A75"/>
          <w:sz w:val="23"/>
          <w:szCs w:val="23"/>
        </w:rPr>
        <w:fldChar w:fldCharType="end"/>
      </w:r>
      <w:r w:rsidRPr="006C0A19">
        <w:rPr>
          <w:rFonts w:ascii="Avenir Next LT Pro" w:eastAsia="MS Mincho" w:hAnsi="Avenir Next LT Pro" w:cs="Times New Roman"/>
          <w:i/>
          <w:iCs/>
          <w:color w:val="082A75"/>
          <w:sz w:val="23"/>
          <w:szCs w:val="23"/>
        </w:rPr>
        <w:t xml:space="preserve"> INIZIATIVE DI COINVOLGIMENTO DEI CITTADINI (numero)</w:t>
      </w:r>
      <w:bookmarkEnd w:id="12"/>
    </w:p>
    <w:p w14:paraId="625AAA58" w14:textId="77777777" w:rsidR="006C0A19" w:rsidRPr="006C0A19" w:rsidRDefault="006C0A19" w:rsidP="006C0A19">
      <w:pPr>
        <w:spacing w:after="200" w:line="276" w:lineRule="auto"/>
        <w:jc w:val="both"/>
        <w:rPr>
          <w:rFonts w:ascii="Avenir Next LT Pro" w:eastAsia="MS Mincho" w:hAnsi="Avenir Next LT Pro" w:cs="Times New Roman"/>
          <w:smallCaps/>
          <w:kern w:val="24"/>
          <w:sz w:val="24"/>
          <w:szCs w:val="24"/>
        </w:rPr>
      </w:pPr>
      <w:r w:rsidRPr="006C0A19">
        <w:rPr>
          <w:rFonts w:ascii="Avenir Next LT Pro" w:eastAsia="MS Mincho" w:hAnsi="Avenir Next LT Pro" w:cs="Times New Roman"/>
          <w:noProof/>
          <w:sz w:val="23"/>
        </w:rPr>
        <w:drawing>
          <wp:inline distT="0" distB="0" distL="0" distR="0" wp14:anchorId="06ECE402" wp14:editId="48F3C3F1">
            <wp:extent cx="6172200" cy="3581400"/>
            <wp:effectExtent l="0" t="0" r="0" b="0"/>
            <wp:docPr id="48" name="Grafico 48">
              <a:extLst xmlns:a="http://schemas.openxmlformats.org/drawingml/2006/main">
                <a:ext uri="{FF2B5EF4-FFF2-40B4-BE49-F238E27FC236}">
                  <a16:creationId xmlns:a16="http://schemas.microsoft.com/office/drawing/2014/main" id="{C7CCDC5A-403B-4B65-9961-3659BE1CE32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6C0A19">
        <w:rPr>
          <w:rFonts w:ascii="Avenir Next LT Pro" w:eastAsia="MS Mincho" w:hAnsi="Avenir Next LT Pro" w:cs="Times New Roman"/>
          <w:sz w:val="20"/>
          <w:szCs w:val="20"/>
        </w:rPr>
        <w:t xml:space="preserve">Fonte: </w:t>
      </w:r>
      <w:r w:rsidRPr="006C0A19">
        <w:rPr>
          <w:rFonts w:ascii="Avenir Next LT Pro" w:eastAsia="Palatino Linotype" w:hAnsi="Avenir Next LT Pro" w:cs="Palatino Linotype"/>
          <w:sz w:val="20"/>
          <w:szCs w:val="20"/>
        </w:rPr>
        <w:t>rielaborazione dati da siti web delle Unioni</w:t>
      </w:r>
    </w:p>
    <w:p w14:paraId="4B45EAFA" w14:textId="77777777" w:rsidR="006C0A19" w:rsidRPr="006C0A19" w:rsidRDefault="006C0A19" w:rsidP="006C0A19">
      <w:pPr>
        <w:spacing w:after="60" w:line="312" w:lineRule="auto"/>
        <w:jc w:val="both"/>
        <w:rPr>
          <w:rFonts w:ascii="Avenir Next LT Pro" w:eastAsia="MS Mincho" w:hAnsi="Avenir Next LT Pro" w:cs="Times New Roman"/>
          <w:sz w:val="23"/>
        </w:rPr>
      </w:pPr>
    </w:p>
    <w:p w14:paraId="54546012" w14:textId="77777777" w:rsidR="006C0A19" w:rsidRPr="006C0A19" w:rsidRDefault="006C0A19" w:rsidP="006C0A19">
      <w:pPr>
        <w:spacing w:after="60" w:line="312" w:lineRule="auto"/>
        <w:jc w:val="both"/>
        <w:rPr>
          <w:rFonts w:ascii="Avenir Next LT Pro" w:eastAsia="MS Mincho" w:hAnsi="Avenir Next LT Pro" w:cs="Times New Roman"/>
          <w:sz w:val="23"/>
        </w:rPr>
      </w:pPr>
    </w:p>
    <w:p w14:paraId="43F677EB" w14:textId="77777777" w:rsidR="006C0A19" w:rsidRPr="006C0A19" w:rsidRDefault="006C0A19" w:rsidP="006C0A19">
      <w:pPr>
        <w:keepNext/>
        <w:keepLines/>
        <w:numPr>
          <w:ilvl w:val="2"/>
          <w:numId w:val="0"/>
        </w:numPr>
        <w:spacing w:after="240" w:line="288" w:lineRule="auto"/>
        <w:ind w:left="1440" w:hanging="720"/>
        <w:jc w:val="both"/>
        <w:outlineLvl w:val="2"/>
        <w:rPr>
          <w:rFonts w:ascii="Avenir Next LT Pro" w:eastAsia="MS Gothic" w:hAnsi="Avenir Next LT Pro" w:cs="Times New Roman"/>
          <w:b/>
          <w:color w:val="256D9D"/>
          <w:sz w:val="24"/>
          <w:szCs w:val="24"/>
        </w:rPr>
      </w:pPr>
      <w:bookmarkStart w:id="13" w:name="_Toc93168833"/>
      <w:r w:rsidRPr="006C0A19">
        <w:rPr>
          <w:rFonts w:ascii="Avenir Next LT Pro" w:eastAsia="MS Gothic" w:hAnsi="Avenir Next LT Pro" w:cs="Times New Roman"/>
          <w:b/>
          <w:color w:val="256D9D"/>
          <w:sz w:val="24"/>
          <w:szCs w:val="24"/>
        </w:rPr>
        <w:t>Accesso civico</w:t>
      </w:r>
      <w:bookmarkEnd w:id="13"/>
      <w:r w:rsidRPr="006C0A19">
        <w:rPr>
          <w:rFonts w:ascii="Avenir Next LT Pro" w:eastAsia="MS Gothic" w:hAnsi="Avenir Next LT Pro" w:cs="Times New Roman"/>
          <w:b/>
          <w:color w:val="256D9D"/>
          <w:sz w:val="24"/>
          <w:szCs w:val="24"/>
        </w:rPr>
        <w:t xml:space="preserve"> </w:t>
      </w:r>
    </w:p>
    <w:p w14:paraId="616342FE" w14:textId="77777777" w:rsidR="006C0A19" w:rsidRPr="006C0A19" w:rsidRDefault="006C0A19" w:rsidP="006C0A19">
      <w:pPr>
        <w:spacing w:after="60" w:line="312" w:lineRule="auto"/>
        <w:jc w:val="both"/>
        <w:rPr>
          <w:rFonts w:ascii="Avenir Next LT Pro" w:eastAsia="MS Mincho" w:hAnsi="Avenir Next LT Pro" w:cs="Times New Roman"/>
          <w:sz w:val="23"/>
        </w:rPr>
      </w:pPr>
      <w:r w:rsidRPr="006C0A19">
        <w:rPr>
          <w:rFonts w:ascii="Avenir Next LT Pro" w:eastAsia="MS Mincho" w:hAnsi="Avenir Next LT Pro" w:cs="Times New Roman"/>
          <w:sz w:val="23"/>
        </w:rPr>
        <w:t>L’istituto dell’</w:t>
      </w:r>
      <w:r w:rsidRPr="006C0A19">
        <w:rPr>
          <w:rFonts w:ascii="Avenir Next LT Pro" w:eastAsia="MS Mincho" w:hAnsi="Avenir Next LT Pro" w:cs="Times New Roman"/>
          <w:b/>
          <w:bCs/>
          <w:sz w:val="23"/>
        </w:rPr>
        <w:t>accesso civico</w:t>
      </w:r>
      <w:r w:rsidRPr="006C0A19">
        <w:rPr>
          <w:rFonts w:ascii="Avenir Next LT Pro" w:eastAsia="MS Mincho" w:hAnsi="Avenir Next LT Pro" w:cs="Times New Roman"/>
          <w:sz w:val="23"/>
        </w:rPr>
        <w:t>, previsto dal d.lgs. 33/2013 e ampliato dal d.lgs. 97/2016, rientra tra gli strumenti con cui il cittadino può esercitare il diritto alla trasparenza nei confronti delle Pubbliche Amministrazioni, anche senza alcun obbligo di motivazione dell’istanza.</w:t>
      </w:r>
    </w:p>
    <w:p w14:paraId="380DF532" w14:textId="77777777" w:rsidR="006C0A19" w:rsidRPr="006C0A19" w:rsidRDefault="006C0A19" w:rsidP="006C0A19">
      <w:pPr>
        <w:spacing w:after="60" w:line="312" w:lineRule="auto"/>
        <w:jc w:val="both"/>
        <w:rPr>
          <w:rFonts w:ascii="Avenir Next LT Pro" w:eastAsia="MS Mincho" w:hAnsi="Avenir Next LT Pro" w:cs="Times New Roman"/>
          <w:sz w:val="23"/>
        </w:rPr>
      </w:pPr>
      <w:r w:rsidRPr="006C0A19">
        <w:rPr>
          <w:rFonts w:ascii="Avenir Next LT Pro" w:eastAsia="MS Mincho" w:hAnsi="Avenir Next LT Pro" w:cs="Times New Roman"/>
          <w:sz w:val="23"/>
        </w:rPr>
        <w:t>L’indicatore analizzato verifica la percentuale di richieste di accesso civico generalizzato accolte dall’Unione sul totale delle richieste ricevute.</w:t>
      </w:r>
    </w:p>
    <w:p w14:paraId="0A8460B9" w14:textId="77777777" w:rsidR="006C0A19" w:rsidRPr="006C0A19" w:rsidRDefault="006C0A19" w:rsidP="006C0A19">
      <w:pPr>
        <w:spacing w:after="60" w:line="312" w:lineRule="auto"/>
        <w:jc w:val="both"/>
        <w:rPr>
          <w:rFonts w:ascii="Avenir Next LT Pro" w:eastAsia="Georgia" w:hAnsi="Avenir Next LT Pro" w:cs="Georgia"/>
          <w:sz w:val="23"/>
        </w:rPr>
      </w:pPr>
      <w:r w:rsidRPr="006C0A19">
        <w:rPr>
          <w:rFonts w:ascii="Avenir Next LT Pro" w:eastAsia="MS Mincho" w:hAnsi="Avenir Next LT Pro" w:cs="Times New Roman"/>
          <w:sz w:val="23"/>
        </w:rPr>
        <w:t>Il primo dato che emerge è negativo: venti Unioni risultano non valutabili, principalmente perché la s</w:t>
      </w:r>
      <w:r w:rsidRPr="006C0A19">
        <w:rPr>
          <w:rFonts w:ascii="Avenir Next LT Pro" w:eastAsia="Georgia" w:hAnsi="Avenir Next LT Pro" w:cs="Georgia"/>
          <w:sz w:val="23"/>
        </w:rPr>
        <w:t xml:space="preserve">ottosezione accesso civico è vuota, o perché non è stato pubblicato il Registro degli accessi. </w:t>
      </w:r>
    </w:p>
    <w:p w14:paraId="137F5FB8" w14:textId="218D8805" w:rsidR="006C0A19" w:rsidRPr="006C0A19" w:rsidRDefault="006C0A19" w:rsidP="006C0A19">
      <w:pPr>
        <w:spacing w:after="60" w:line="312" w:lineRule="auto"/>
        <w:jc w:val="both"/>
        <w:rPr>
          <w:rFonts w:ascii="Avenir Next LT Pro" w:eastAsia="Georgia" w:hAnsi="Avenir Next LT Pro" w:cs="Georgia"/>
          <w:sz w:val="23"/>
        </w:rPr>
      </w:pPr>
      <w:r w:rsidRPr="006C0A19">
        <w:rPr>
          <w:rFonts w:ascii="Avenir Next LT Pro" w:eastAsia="MS Mincho" w:hAnsi="Avenir Next LT Pro" w:cs="Times New Roman"/>
          <w:noProof/>
          <w:sz w:val="23"/>
        </w:rPr>
        <w:lastRenderedPageBreak/>
        <w:drawing>
          <wp:anchor distT="0" distB="0" distL="114300" distR="114300" simplePos="0" relativeHeight="251660288" behindDoc="0" locked="0" layoutInCell="1" allowOverlap="1" wp14:anchorId="4BE5049D" wp14:editId="27950A41">
            <wp:simplePos x="0" y="0"/>
            <wp:positionH relativeFrom="column">
              <wp:posOffset>-247015</wp:posOffset>
            </wp:positionH>
            <wp:positionV relativeFrom="paragraph">
              <wp:posOffset>1010920</wp:posOffset>
            </wp:positionV>
            <wp:extent cx="6858635" cy="2859405"/>
            <wp:effectExtent l="0" t="0" r="0" b="0"/>
            <wp:wrapTopAndBottom/>
            <wp:docPr id="91" name="Immagine 91" descr="Immagine che contiene tavol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Immagine 91" descr="Immagine che contiene tavolo&#10;&#10;Descrizione generata automaticament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858635" cy="2859405"/>
                    </a:xfrm>
                    <a:prstGeom prst="rect">
                      <a:avLst/>
                    </a:prstGeom>
                  </pic:spPr>
                </pic:pic>
              </a:graphicData>
            </a:graphic>
            <wp14:sizeRelH relativeFrom="margin">
              <wp14:pctWidth>0</wp14:pctWidth>
            </wp14:sizeRelH>
            <wp14:sizeRelV relativeFrom="margin">
              <wp14:pctHeight>0</wp14:pctHeight>
            </wp14:sizeRelV>
          </wp:anchor>
        </w:drawing>
      </w:r>
      <w:r w:rsidRPr="006C0A19">
        <w:rPr>
          <w:rFonts w:ascii="Avenir Next LT Pro" w:eastAsia="MS Mincho" w:hAnsi="Avenir Next LT Pro" w:cs="Times New Roman"/>
          <w:noProof/>
          <w:sz w:val="23"/>
        </w:rPr>
        <mc:AlternateContent>
          <mc:Choice Requires="wps">
            <w:drawing>
              <wp:anchor distT="0" distB="0" distL="114300" distR="114300" simplePos="0" relativeHeight="251664384" behindDoc="0" locked="0" layoutInCell="1" allowOverlap="1" wp14:anchorId="4AB0DCA0" wp14:editId="7E0CCB6D">
                <wp:simplePos x="0" y="0"/>
                <wp:positionH relativeFrom="column">
                  <wp:posOffset>-159385</wp:posOffset>
                </wp:positionH>
                <wp:positionV relativeFrom="paragraph">
                  <wp:posOffset>372745</wp:posOffset>
                </wp:positionV>
                <wp:extent cx="6465570" cy="457200"/>
                <wp:effectExtent l="0" t="0" r="0" b="0"/>
                <wp:wrapTopAndBottom/>
                <wp:docPr id="81" name="Text Box 81"/>
                <wp:cNvGraphicFramePr/>
                <a:graphic xmlns:a="http://schemas.openxmlformats.org/drawingml/2006/main">
                  <a:graphicData uri="http://schemas.microsoft.com/office/word/2010/wordprocessingShape">
                    <wps:wsp>
                      <wps:cNvSpPr txBox="1"/>
                      <wps:spPr>
                        <a:xfrm>
                          <a:off x="0" y="0"/>
                          <a:ext cx="6465570" cy="457200"/>
                        </a:xfrm>
                        <a:prstGeom prst="rect">
                          <a:avLst/>
                        </a:prstGeom>
                        <a:solidFill>
                          <a:prstClr val="white"/>
                        </a:solidFill>
                        <a:ln>
                          <a:noFill/>
                        </a:ln>
                      </wps:spPr>
                      <wps:txbx>
                        <w:txbxContent>
                          <w:p w14:paraId="58E86AE8" w14:textId="77777777" w:rsidR="006C0A19" w:rsidRPr="00B20687" w:rsidRDefault="006C0A19" w:rsidP="006C0A19">
                            <w:pPr>
                              <w:pStyle w:val="Didascalia1"/>
                              <w:rPr>
                                <w:noProof/>
                                <w:sz w:val="23"/>
                                <w:szCs w:val="23"/>
                              </w:rPr>
                            </w:pPr>
                            <w:bookmarkStart w:id="14" w:name="_Toc93171087"/>
                            <w:r w:rsidRPr="00B20687">
                              <w:rPr>
                                <w:sz w:val="23"/>
                                <w:szCs w:val="23"/>
                              </w:rPr>
                              <w:t xml:space="preserve">Figura </w:t>
                            </w:r>
                            <w:r w:rsidRPr="00B20687">
                              <w:rPr>
                                <w:sz w:val="23"/>
                                <w:szCs w:val="23"/>
                              </w:rPr>
                              <w:fldChar w:fldCharType="begin"/>
                            </w:r>
                            <w:r w:rsidRPr="00B20687">
                              <w:rPr>
                                <w:sz w:val="23"/>
                                <w:szCs w:val="23"/>
                              </w:rPr>
                              <w:instrText xml:space="preserve"> SEQ Figura \* ARABIC </w:instrText>
                            </w:r>
                            <w:r w:rsidRPr="00B20687">
                              <w:rPr>
                                <w:sz w:val="23"/>
                                <w:szCs w:val="23"/>
                              </w:rPr>
                              <w:fldChar w:fldCharType="separate"/>
                            </w:r>
                            <w:r>
                              <w:rPr>
                                <w:noProof/>
                                <w:sz w:val="23"/>
                                <w:szCs w:val="23"/>
                              </w:rPr>
                              <w:t>33</w:t>
                            </w:r>
                            <w:r w:rsidRPr="00B20687">
                              <w:rPr>
                                <w:sz w:val="23"/>
                                <w:szCs w:val="23"/>
                              </w:rPr>
                              <w:fldChar w:fldCharType="end"/>
                            </w:r>
                            <w:r w:rsidRPr="00B20687">
                              <w:rPr>
                                <w:sz w:val="23"/>
                                <w:szCs w:val="23"/>
                              </w:rPr>
                              <w:t xml:space="preserve"> ESTRATTO DA SITO WEB DELL’UNIONE RIVIERA DEL BRENTA – REGISTRO DEGLI ACCESSI CIVICI</w:t>
                            </w:r>
                            <w:bookmarkEnd w:id="14"/>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AB0DCA0" id="Text Box 81" o:spid="_x0000_s1027" type="#_x0000_t202" style="position:absolute;left:0;text-align:left;margin-left:-12.55pt;margin-top:29.35pt;width:509.1pt;height:36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" stroked="f">
                <v:textbox inset="0,0,0,0">
                  <w:txbxContent>
                    <w:p w14:paraId="58E86AE8" w14:textId="77777777" w:rsidR="006C0A19" w:rsidRPr="00B20687" w:rsidRDefault="006C0A19" w:rsidP="006C0A19">
                      <w:pPr>
                        <w:pStyle w:val="Didascalia1"/>
                        <w:rPr>
                          <w:noProof/>
                          <w:sz w:val="23"/>
                          <w:szCs w:val="23"/>
                        </w:rPr>
                      </w:pPr>
                      <w:bookmarkStart w:id="16" w:name="_Toc93171087"/>
                      <w:r w:rsidRPr="00B20687">
                        <w:rPr>
                          <w:sz w:val="23"/>
                          <w:szCs w:val="23"/>
                        </w:rPr>
                        <w:t xml:space="preserve">Figura </w:t>
                      </w:r>
                      <w:r w:rsidRPr="00B20687">
                        <w:rPr>
                          <w:sz w:val="23"/>
                          <w:szCs w:val="23"/>
                        </w:rPr>
                        <w:fldChar w:fldCharType="begin"/>
                      </w:r>
                      <w:r w:rsidRPr="00B20687">
                        <w:rPr>
                          <w:sz w:val="23"/>
                          <w:szCs w:val="23"/>
                        </w:rPr>
                        <w:instrText xml:space="preserve"> SEQ Figura \* ARABIC </w:instrText>
                      </w:r>
                      <w:r w:rsidRPr="00B20687">
                        <w:rPr>
                          <w:sz w:val="23"/>
                          <w:szCs w:val="23"/>
                        </w:rPr>
                        <w:fldChar w:fldCharType="separate"/>
                      </w:r>
                      <w:r>
                        <w:rPr>
                          <w:noProof/>
                          <w:sz w:val="23"/>
                          <w:szCs w:val="23"/>
                        </w:rPr>
                        <w:t>33</w:t>
                      </w:r>
                      <w:r w:rsidRPr="00B20687">
                        <w:rPr>
                          <w:sz w:val="23"/>
                          <w:szCs w:val="23"/>
                        </w:rPr>
                        <w:fldChar w:fldCharType="end"/>
                      </w:r>
                      <w:r w:rsidRPr="00B20687">
                        <w:rPr>
                          <w:sz w:val="23"/>
                          <w:szCs w:val="23"/>
                        </w:rPr>
                        <w:t xml:space="preserve"> ESTRATTO DA SITO WEB DELL’UNIONE RIVIERA DEL BRENTA – REGISTRO DEGLI ACCESSI CIVICI</w:t>
                      </w:r>
                      <w:bookmarkEnd w:id="16"/>
                    </w:p>
                  </w:txbxContent>
                </v:textbox>
                <w10:wrap type="topAndBottom"/>
              </v:shape>
            </w:pict>
          </mc:Fallback>
        </mc:AlternateContent>
      </w:r>
    </w:p>
    <w:p w14:paraId="1887C666" w14:textId="534BE498" w:rsidR="006C0A19" w:rsidRPr="006C0A19" w:rsidRDefault="006C0A19" w:rsidP="006C0A19">
      <w:pPr>
        <w:spacing w:after="200" w:line="276" w:lineRule="auto"/>
        <w:jc w:val="both"/>
        <w:rPr>
          <w:rFonts w:ascii="Avenir Next LT Pro" w:eastAsia="MS Mincho" w:hAnsi="Avenir Next LT Pro" w:cs="Times New Roman"/>
          <w:i/>
          <w:iCs/>
          <w:color w:val="082A75"/>
          <w:sz w:val="23"/>
          <w:szCs w:val="23"/>
          <w:highlight w:val="cyan"/>
        </w:rPr>
      </w:pPr>
    </w:p>
    <w:p w14:paraId="2BD30582" w14:textId="77777777" w:rsidR="006C0A19" w:rsidRPr="006C0A19" w:rsidRDefault="006C0A19" w:rsidP="006C0A19">
      <w:pPr>
        <w:spacing w:after="200" w:line="276" w:lineRule="auto"/>
        <w:jc w:val="center"/>
        <w:rPr>
          <w:rFonts w:ascii="Avenir Next LT Pro" w:eastAsia="MS Mincho" w:hAnsi="Avenir Next LT Pro" w:cs="Times New Roman"/>
          <w:sz w:val="23"/>
        </w:rPr>
      </w:pPr>
    </w:p>
    <w:p w14:paraId="59870685" w14:textId="77777777" w:rsidR="006C0A19" w:rsidRPr="006C0A19" w:rsidRDefault="006C0A19" w:rsidP="006C0A19">
      <w:pPr>
        <w:spacing w:after="60" w:line="312" w:lineRule="auto"/>
        <w:jc w:val="both"/>
        <w:rPr>
          <w:rFonts w:ascii="Avenir Next LT Pro" w:eastAsia="MS Mincho" w:hAnsi="Avenir Next LT Pro" w:cs="Times New Roman"/>
          <w:sz w:val="23"/>
        </w:rPr>
      </w:pPr>
    </w:p>
    <w:p w14:paraId="2C12024C" w14:textId="77777777" w:rsidR="006C0A19" w:rsidRPr="006C0A19" w:rsidRDefault="006C0A19" w:rsidP="006C0A19">
      <w:pPr>
        <w:spacing w:after="60" w:line="312" w:lineRule="auto"/>
        <w:jc w:val="both"/>
        <w:rPr>
          <w:rFonts w:ascii="Avenir Next LT Pro" w:eastAsia="Georgia" w:hAnsi="Avenir Next LT Pro" w:cs="Georgia"/>
          <w:sz w:val="23"/>
        </w:rPr>
      </w:pPr>
      <w:r w:rsidRPr="006C0A19">
        <w:rPr>
          <w:rFonts w:ascii="Avenir Next LT Pro" w:eastAsia="Georgia" w:hAnsi="Avenir Next LT Pro" w:cs="Georgia"/>
          <w:sz w:val="23"/>
        </w:rPr>
        <w:t>Tra le nove Unioni valutabili, cinque dichiarano di non aver ricevuto richieste di accesso civico, anche se il Registro è stato istituito: tra esse, la Garfagnana e la Valle del Savio.</w:t>
      </w:r>
    </w:p>
    <w:p w14:paraId="49EED941" w14:textId="77777777" w:rsidR="006C0A19" w:rsidRPr="006C0A19" w:rsidRDefault="006C0A19" w:rsidP="006C0A19">
      <w:pPr>
        <w:spacing w:after="200" w:line="276" w:lineRule="auto"/>
        <w:rPr>
          <w:rFonts w:ascii="Avenir Next LT Pro" w:eastAsia="MS Mincho" w:hAnsi="Avenir Next LT Pro" w:cs="Times New Roman"/>
          <w:sz w:val="23"/>
        </w:rPr>
      </w:pPr>
      <w:r w:rsidRPr="006C0A19">
        <w:rPr>
          <w:rFonts w:ascii="Avenir Next LT Pro" w:eastAsia="MS Mincho" w:hAnsi="Avenir Next LT Pro" w:cs="Times New Roman"/>
          <w:sz w:val="23"/>
        </w:rPr>
        <w:br w:type="page"/>
      </w:r>
    </w:p>
    <w:p w14:paraId="6B115C91" w14:textId="77777777" w:rsidR="006C0A19" w:rsidRPr="006C0A19" w:rsidRDefault="006C0A19" w:rsidP="006C0A19">
      <w:pPr>
        <w:keepNext/>
        <w:spacing w:after="200" w:line="240" w:lineRule="auto"/>
        <w:jc w:val="both"/>
        <w:rPr>
          <w:rFonts w:ascii="Avenir Next LT Pro" w:eastAsia="MS Mincho" w:hAnsi="Avenir Next LT Pro" w:cs="Times New Roman"/>
          <w:i/>
          <w:iCs/>
          <w:color w:val="082A75"/>
          <w:sz w:val="23"/>
          <w:szCs w:val="23"/>
        </w:rPr>
      </w:pPr>
      <w:bookmarkStart w:id="15" w:name="_Toc93170931"/>
      <w:r w:rsidRPr="006C0A19">
        <w:rPr>
          <w:rFonts w:ascii="Avenir Next LT Pro" w:eastAsia="MS Mincho" w:hAnsi="Avenir Next LT Pro" w:cs="Times New Roman"/>
          <w:i/>
          <w:iCs/>
          <w:color w:val="082A75"/>
          <w:sz w:val="23"/>
          <w:szCs w:val="23"/>
        </w:rPr>
        <w:lastRenderedPageBreak/>
        <w:t xml:space="preserve">Tabella </w:t>
      </w:r>
      <w:r w:rsidRPr="006C0A19">
        <w:rPr>
          <w:rFonts w:ascii="Avenir Next LT Pro" w:eastAsia="MS Mincho" w:hAnsi="Avenir Next LT Pro" w:cs="Times New Roman"/>
          <w:i/>
          <w:iCs/>
          <w:color w:val="082A75"/>
          <w:sz w:val="23"/>
          <w:szCs w:val="23"/>
        </w:rPr>
        <w:fldChar w:fldCharType="begin"/>
      </w:r>
      <w:r w:rsidRPr="006C0A19">
        <w:rPr>
          <w:rFonts w:ascii="Avenir Next LT Pro" w:eastAsia="MS Mincho" w:hAnsi="Avenir Next LT Pro" w:cs="Times New Roman"/>
          <w:i/>
          <w:iCs/>
          <w:color w:val="082A75"/>
          <w:sz w:val="23"/>
          <w:szCs w:val="23"/>
        </w:rPr>
        <w:instrText xml:space="preserve"> SEQ Tabella \* ARABIC </w:instrText>
      </w:r>
      <w:r w:rsidRPr="006C0A19">
        <w:rPr>
          <w:rFonts w:ascii="Avenir Next LT Pro" w:eastAsia="MS Mincho" w:hAnsi="Avenir Next LT Pro" w:cs="Times New Roman"/>
          <w:i/>
          <w:iCs/>
          <w:color w:val="082A75"/>
          <w:sz w:val="23"/>
          <w:szCs w:val="23"/>
        </w:rPr>
        <w:fldChar w:fldCharType="separate"/>
      </w:r>
      <w:r w:rsidRPr="006C0A19">
        <w:rPr>
          <w:rFonts w:ascii="Avenir Next LT Pro" w:eastAsia="MS Mincho" w:hAnsi="Avenir Next LT Pro" w:cs="Times New Roman"/>
          <w:i/>
          <w:iCs/>
          <w:noProof/>
          <w:color w:val="082A75"/>
          <w:sz w:val="23"/>
          <w:szCs w:val="23"/>
        </w:rPr>
        <w:t>26</w:t>
      </w:r>
      <w:r w:rsidRPr="006C0A19">
        <w:rPr>
          <w:rFonts w:ascii="Avenir Next LT Pro" w:eastAsia="MS Mincho" w:hAnsi="Avenir Next LT Pro" w:cs="Times New Roman"/>
          <w:i/>
          <w:iCs/>
          <w:color w:val="082A75"/>
          <w:sz w:val="23"/>
          <w:szCs w:val="23"/>
        </w:rPr>
        <w:fldChar w:fldCharType="end"/>
      </w:r>
      <w:r w:rsidRPr="006C0A19">
        <w:rPr>
          <w:rFonts w:ascii="Avenir Next LT Pro" w:eastAsia="MS Mincho" w:hAnsi="Avenir Next LT Pro" w:cs="Times New Roman"/>
          <w:i/>
          <w:iCs/>
          <w:color w:val="082A75"/>
          <w:sz w:val="23"/>
          <w:szCs w:val="23"/>
        </w:rPr>
        <w:t xml:space="preserve"> REGISTRO DEGLI ACCESSI CIVICI GENERALIZZATI: RICHIESTE ACCOLTE</w:t>
      </w:r>
      <w:bookmarkEnd w:id="15"/>
    </w:p>
    <w:tbl>
      <w:tblPr>
        <w:tblStyle w:val="Tabellagriglia4-colore21"/>
        <w:tblW w:w="8926" w:type="dxa"/>
        <w:tblLook w:val="04A0" w:firstRow="1" w:lastRow="0" w:firstColumn="1" w:lastColumn="0" w:noHBand="0" w:noVBand="1"/>
      </w:tblPr>
      <w:tblGrid>
        <w:gridCol w:w="2830"/>
        <w:gridCol w:w="6096"/>
      </w:tblGrid>
      <w:tr w:rsidR="006C0A19" w:rsidRPr="006C0A19" w14:paraId="22AE4E9F" w14:textId="77777777" w:rsidTr="006C0A19">
        <w:trPr>
          <w:cnfStyle w:val="100000000000" w:firstRow="1" w:lastRow="0" w:firstColumn="0" w:lastColumn="0" w:oddVBand="0" w:evenVBand="0" w:oddHBand="0" w:evenHBand="0" w:firstRowFirstColumn="0" w:firstRowLastColumn="0" w:lastRowFirstColumn="0" w:lastRowLastColumn="0"/>
          <w:trHeight w:val="456"/>
        </w:trPr>
        <w:tc>
          <w:tcPr>
            <w:cnfStyle w:val="001000000000" w:firstRow="0" w:lastRow="0" w:firstColumn="1" w:lastColumn="0" w:oddVBand="0" w:evenVBand="0" w:oddHBand="0" w:evenHBand="0" w:firstRowFirstColumn="0" w:firstRowLastColumn="0" w:lastRowFirstColumn="0" w:lastRowLastColumn="0"/>
            <w:tcW w:w="2830" w:type="dxa"/>
            <w:noWrap/>
            <w:vAlign w:val="center"/>
            <w:hideMark/>
          </w:tcPr>
          <w:p w14:paraId="14190B3C" w14:textId="77777777" w:rsidR="006C0A19" w:rsidRPr="006C0A19" w:rsidRDefault="006C0A19" w:rsidP="006C0A19">
            <w:pPr>
              <w:jc w:val="center"/>
              <w:rPr>
                <w:rFonts w:ascii="Avenir Next LT Pro" w:eastAsia="Times New Roman" w:hAnsi="Avenir Next LT Pro" w:cs="Calibri"/>
                <w:lang w:eastAsia="it-IT"/>
              </w:rPr>
            </w:pPr>
            <w:r w:rsidRPr="006C0A19">
              <w:rPr>
                <w:rFonts w:ascii="Avenir Next LT Pro" w:eastAsia="Times New Roman" w:hAnsi="Avenir Next LT Pro" w:cs="Calibri"/>
                <w:lang w:eastAsia="it-IT"/>
              </w:rPr>
              <w:t>Unione</w:t>
            </w:r>
          </w:p>
        </w:tc>
        <w:tc>
          <w:tcPr>
            <w:tcW w:w="6096" w:type="dxa"/>
            <w:noWrap/>
            <w:vAlign w:val="center"/>
            <w:hideMark/>
          </w:tcPr>
          <w:p w14:paraId="1FD0A749" w14:textId="77777777" w:rsidR="006C0A19" w:rsidRPr="006C0A19" w:rsidRDefault="006C0A19" w:rsidP="006C0A19">
            <w:pPr>
              <w:jc w:val="center"/>
              <w:cnfStyle w:val="100000000000" w:firstRow="1" w:lastRow="0" w:firstColumn="0" w:lastColumn="0" w:oddVBand="0" w:evenVBand="0" w:oddHBand="0" w:evenHBand="0" w:firstRowFirstColumn="0" w:firstRowLastColumn="0" w:lastRowFirstColumn="0" w:lastRowLastColumn="0"/>
              <w:rPr>
                <w:rFonts w:ascii="Avenir Next LT Pro" w:eastAsia="Times New Roman" w:hAnsi="Avenir Next LT Pro" w:cs="Calibri"/>
                <w:lang w:eastAsia="it-IT"/>
              </w:rPr>
            </w:pPr>
            <w:r w:rsidRPr="006C0A19">
              <w:rPr>
                <w:rFonts w:ascii="Avenir Next LT Pro" w:eastAsia="Times New Roman" w:hAnsi="Avenir Next LT Pro" w:cs="Calibri"/>
                <w:lang w:eastAsia="it-IT"/>
              </w:rPr>
              <w:t>Richieste accolte su totale ricevute %</w:t>
            </w:r>
          </w:p>
        </w:tc>
      </w:tr>
      <w:tr w:rsidR="006C0A19" w:rsidRPr="006C0A19" w14:paraId="30FB6D91" w14:textId="77777777" w:rsidTr="006C0A19">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2830" w:type="dxa"/>
            <w:noWrap/>
            <w:vAlign w:val="center"/>
            <w:hideMark/>
          </w:tcPr>
          <w:p w14:paraId="140AFEF5" w14:textId="77777777" w:rsidR="006C0A19" w:rsidRPr="006C0A19" w:rsidRDefault="006C0A19" w:rsidP="006C0A19">
            <w:pPr>
              <w:rPr>
                <w:rFonts w:ascii="Avenir Next LT Pro" w:eastAsia="Times New Roman" w:hAnsi="Avenir Next LT Pro" w:cs="Calibri"/>
                <w:color w:val="000000"/>
                <w:lang w:eastAsia="it-IT"/>
              </w:rPr>
            </w:pPr>
            <w:r w:rsidRPr="006C0A19">
              <w:rPr>
                <w:rFonts w:ascii="Avenir Next LT Pro" w:eastAsia="Times New Roman" w:hAnsi="Avenir Next LT Pro" w:cs="Calibri"/>
                <w:color w:val="000000"/>
                <w:lang w:eastAsia="it-IT"/>
              </w:rPr>
              <w:t>U Valdera</w:t>
            </w:r>
          </w:p>
        </w:tc>
        <w:tc>
          <w:tcPr>
            <w:tcW w:w="6096" w:type="dxa"/>
            <w:noWrap/>
            <w:vAlign w:val="center"/>
            <w:hideMark/>
          </w:tcPr>
          <w:p w14:paraId="04E3C4A4" w14:textId="77777777" w:rsidR="006C0A19" w:rsidRPr="006C0A19" w:rsidRDefault="006C0A19" w:rsidP="006C0A19">
            <w:pPr>
              <w:jc w:val="center"/>
              <w:cnfStyle w:val="000000100000" w:firstRow="0" w:lastRow="0" w:firstColumn="0" w:lastColumn="0" w:oddVBand="0" w:evenVBand="0" w:oddHBand="1" w:evenHBand="0" w:firstRowFirstColumn="0" w:firstRowLastColumn="0" w:lastRowFirstColumn="0" w:lastRowLastColumn="0"/>
              <w:rPr>
                <w:rFonts w:ascii="Avenir Next LT Pro" w:eastAsia="Times New Roman" w:hAnsi="Avenir Next LT Pro" w:cs="Calibri"/>
                <w:color w:val="000000"/>
                <w:lang w:eastAsia="it-IT"/>
              </w:rPr>
            </w:pPr>
            <w:r w:rsidRPr="006C0A19">
              <w:rPr>
                <w:rFonts w:ascii="Avenir Next LT Pro" w:eastAsia="Times New Roman" w:hAnsi="Avenir Next LT Pro" w:cs="Calibri"/>
                <w:color w:val="000000"/>
                <w:lang w:eastAsia="it-IT"/>
              </w:rPr>
              <w:t>100</w:t>
            </w:r>
          </w:p>
        </w:tc>
      </w:tr>
      <w:tr w:rsidR="006C0A19" w:rsidRPr="006C0A19" w14:paraId="061B2E61" w14:textId="77777777" w:rsidTr="002D0D86">
        <w:trPr>
          <w:trHeight w:val="324"/>
        </w:trPr>
        <w:tc>
          <w:tcPr>
            <w:cnfStyle w:val="001000000000" w:firstRow="0" w:lastRow="0" w:firstColumn="1" w:lastColumn="0" w:oddVBand="0" w:evenVBand="0" w:oddHBand="0" w:evenHBand="0" w:firstRowFirstColumn="0" w:firstRowLastColumn="0" w:lastRowFirstColumn="0" w:lastRowLastColumn="0"/>
            <w:tcW w:w="2830" w:type="dxa"/>
            <w:noWrap/>
            <w:vAlign w:val="center"/>
            <w:hideMark/>
          </w:tcPr>
          <w:p w14:paraId="38A7310A" w14:textId="77777777" w:rsidR="006C0A19" w:rsidRPr="006C0A19" w:rsidRDefault="006C0A19" w:rsidP="006C0A19">
            <w:pPr>
              <w:rPr>
                <w:rFonts w:ascii="Avenir Next LT Pro" w:eastAsia="Times New Roman" w:hAnsi="Avenir Next LT Pro" w:cs="Calibri"/>
                <w:color w:val="000000"/>
                <w:lang w:eastAsia="it-IT"/>
              </w:rPr>
            </w:pPr>
            <w:r w:rsidRPr="006C0A19">
              <w:rPr>
                <w:rFonts w:ascii="Avenir Next LT Pro" w:eastAsia="Times New Roman" w:hAnsi="Avenir Next LT Pro" w:cs="Calibri"/>
                <w:color w:val="000000"/>
                <w:lang w:eastAsia="it-IT"/>
              </w:rPr>
              <w:t>U Reno Galliera</w:t>
            </w:r>
          </w:p>
        </w:tc>
        <w:tc>
          <w:tcPr>
            <w:tcW w:w="6096" w:type="dxa"/>
            <w:noWrap/>
            <w:vAlign w:val="center"/>
            <w:hideMark/>
          </w:tcPr>
          <w:p w14:paraId="01110C8D" w14:textId="77777777" w:rsidR="006C0A19" w:rsidRPr="006C0A19" w:rsidRDefault="006C0A19" w:rsidP="006C0A19">
            <w:pPr>
              <w:jc w:val="center"/>
              <w:cnfStyle w:val="000000000000" w:firstRow="0" w:lastRow="0" w:firstColumn="0" w:lastColumn="0" w:oddVBand="0" w:evenVBand="0" w:oddHBand="0" w:evenHBand="0" w:firstRowFirstColumn="0" w:firstRowLastColumn="0" w:lastRowFirstColumn="0" w:lastRowLastColumn="0"/>
              <w:rPr>
                <w:rFonts w:ascii="Avenir Next LT Pro" w:eastAsia="Times New Roman" w:hAnsi="Avenir Next LT Pro" w:cs="Calibri"/>
                <w:color w:val="000000"/>
                <w:lang w:eastAsia="it-IT"/>
              </w:rPr>
            </w:pPr>
            <w:r w:rsidRPr="006C0A19">
              <w:rPr>
                <w:rFonts w:ascii="Avenir Next LT Pro" w:eastAsia="Times New Roman" w:hAnsi="Avenir Next LT Pro" w:cs="Calibri"/>
                <w:color w:val="000000"/>
                <w:lang w:eastAsia="it-IT"/>
              </w:rPr>
              <w:t>100</w:t>
            </w:r>
          </w:p>
        </w:tc>
      </w:tr>
      <w:tr w:rsidR="006C0A19" w:rsidRPr="006C0A19" w14:paraId="55C55EFD" w14:textId="77777777" w:rsidTr="006C0A19">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2830" w:type="dxa"/>
            <w:noWrap/>
            <w:vAlign w:val="center"/>
            <w:hideMark/>
          </w:tcPr>
          <w:p w14:paraId="5BCEF8B5" w14:textId="77777777" w:rsidR="006C0A19" w:rsidRPr="006C0A19" w:rsidRDefault="006C0A19" w:rsidP="006C0A19">
            <w:pPr>
              <w:rPr>
                <w:rFonts w:ascii="Avenir Next LT Pro" w:eastAsia="Times New Roman" w:hAnsi="Avenir Next LT Pro" w:cs="Calibri"/>
                <w:color w:val="000000"/>
                <w:lang w:eastAsia="it-IT"/>
              </w:rPr>
            </w:pPr>
            <w:r w:rsidRPr="006C0A19">
              <w:rPr>
                <w:rFonts w:ascii="Avenir Next LT Pro" w:eastAsia="Times New Roman" w:hAnsi="Avenir Next LT Pro" w:cs="Calibri"/>
                <w:color w:val="000000"/>
                <w:lang w:eastAsia="it-IT"/>
              </w:rPr>
              <w:t>UC Riviera del Brenta</w:t>
            </w:r>
          </w:p>
        </w:tc>
        <w:tc>
          <w:tcPr>
            <w:tcW w:w="6096" w:type="dxa"/>
            <w:noWrap/>
            <w:vAlign w:val="center"/>
            <w:hideMark/>
          </w:tcPr>
          <w:p w14:paraId="2E28294E" w14:textId="77777777" w:rsidR="006C0A19" w:rsidRPr="006C0A19" w:rsidRDefault="006C0A19" w:rsidP="006C0A19">
            <w:pPr>
              <w:jc w:val="center"/>
              <w:cnfStyle w:val="000000100000" w:firstRow="0" w:lastRow="0" w:firstColumn="0" w:lastColumn="0" w:oddVBand="0" w:evenVBand="0" w:oddHBand="1" w:evenHBand="0" w:firstRowFirstColumn="0" w:firstRowLastColumn="0" w:lastRowFirstColumn="0" w:lastRowLastColumn="0"/>
              <w:rPr>
                <w:rFonts w:ascii="Avenir Next LT Pro" w:eastAsia="Times New Roman" w:hAnsi="Avenir Next LT Pro" w:cs="Calibri"/>
                <w:color w:val="000000"/>
                <w:lang w:eastAsia="it-IT"/>
              </w:rPr>
            </w:pPr>
            <w:r w:rsidRPr="006C0A19">
              <w:rPr>
                <w:rFonts w:ascii="Avenir Next LT Pro" w:eastAsia="Times New Roman" w:hAnsi="Avenir Next LT Pro" w:cs="Calibri"/>
                <w:color w:val="000000"/>
                <w:lang w:eastAsia="it-IT"/>
              </w:rPr>
              <w:t>100</w:t>
            </w:r>
          </w:p>
        </w:tc>
      </w:tr>
      <w:tr w:rsidR="006C0A19" w:rsidRPr="006C0A19" w14:paraId="3796E3AF" w14:textId="77777777" w:rsidTr="002D0D86">
        <w:trPr>
          <w:trHeight w:val="324"/>
        </w:trPr>
        <w:tc>
          <w:tcPr>
            <w:cnfStyle w:val="001000000000" w:firstRow="0" w:lastRow="0" w:firstColumn="1" w:lastColumn="0" w:oddVBand="0" w:evenVBand="0" w:oddHBand="0" w:evenHBand="0" w:firstRowFirstColumn="0" w:firstRowLastColumn="0" w:lastRowFirstColumn="0" w:lastRowLastColumn="0"/>
            <w:tcW w:w="2830" w:type="dxa"/>
            <w:noWrap/>
            <w:vAlign w:val="center"/>
            <w:hideMark/>
          </w:tcPr>
          <w:p w14:paraId="0FD9FEF5" w14:textId="77777777" w:rsidR="006C0A19" w:rsidRPr="006C0A19" w:rsidRDefault="006C0A19" w:rsidP="006C0A19">
            <w:pPr>
              <w:rPr>
                <w:rFonts w:ascii="Avenir Next LT Pro" w:eastAsia="Times New Roman" w:hAnsi="Avenir Next LT Pro" w:cs="Calibri"/>
                <w:color w:val="000000"/>
                <w:lang w:eastAsia="it-IT"/>
              </w:rPr>
            </w:pPr>
            <w:r w:rsidRPr="006C0A19">
              <w:rPr>
                <w:rFonts w:ascii="Avenir Next LT Pro" w:eastAsia="Times New Roman" w:hAnsi="Avenir Next LT Pro" w:cs="Calibri"/>
                <w:color w:val="000000"/>
                <w:lang w:eastAsia="it-IT"/>
              </w:rPr>
              <w:t>U Romagna Faentina</w:t>
            </w:r>
          </w:p>
        </w:tc>
        <w:tc>
          <w:tcPr>
            <w:tcW w:w="6096" w:type="dxa"/>
            <w:noWrap/>
            <w:vAlign w:val="center"/>
            <w:hideMark/>
          </w:tcPr>
          <w:p w14:paraId="3916B7D3" w14:textId="77777777" w:rsidR="006C0A19" w:rsidRPr="006C0A19" w:rsidRDefault="006C0A19" w:rsidP="006C0A19">
            <w:pPr>
              <w:jc w:val="center"/>
              <w:cnfStyle w:val="000000000000" w:firstRow="0" w:lastRow="0" w:firstColumn="0" w:lastColumn="0" w:oddVBand="0" w:evenVBand="0" w:oddHBand="0" w:evenHBand="0" w:firstRowFirstColumn="0" w:firstRowLastColumn="0" w:lastRowFirstColumn="0" w:lastRowLastColumn="0"/>
              <w:rPr>
                <w:rFonts w:ascii="Avenir Next LT Pro" w:eastAsia="Times New Roman" w:hAnsi="Avenir Next LT Pro" w:cs="Calibri"/>
                <w:color w:val="000000"/>
                <w:lang w:eastAsia="it-IT"/>
              </w:rPr>
            </w:pPr>
            <w:r w:rsidRPr="006C0A19">
              <w:rPr>
                <w:rFonts w:ascii="Avenir Next LT Pro" w:eastAsia="Times New Roman" w:hAnsi="Avenir Next LT Pro" w:cs="Calibri"/>
                <w:color w:val="000000"/>
                <w:lang w:eastAsia="it-IT"/>
              </w:rPr>
              <w:t>29</w:t>
            </w:r>
          </w:p>
        </w:tc>
      </w:tr>
      <w:tr w:rsidR="006C0A19" w:rsidRPr="006C0A19" w14:paraId="3B4E5247" w14:textId="77777777" w:rsidTr="006C0A19">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2830" w:type="dxa"/>
            <w:noWrap/>
            <w:vAlign w:val="center"/>
            <w:hideMark/>
          </w:tcPr>
          <w:p w14:paraId="32A975BC" w14:textId="77777777" w:rsidR="006C0A19" w:rsidRPr="006C0A19" w:rsidRDefault="006C0A19" w:rsidP="006C0A19">
            <w:pPr>
              <w:rPr>
                <w:rFonts w:ascii="Avenir Next LT Pro" w:eastAsia="Times New Roman" w:hAnsi="Avenir Next LT Pro" w:cs="Calibri"/>
                <w:color w:val="000000"/>
                <w:lang w:eastAsia="it-IT"/>
              </w:rPr>
            </w:pPr>
            <w:r w:rsidRPr="006C0A19">
              <w:rPr>
                <w:rFonts w:ascii="Avenir Next LT Pro" w:eastAsia="Times New Roman" w:hAnsi="Avenir Next LT Pro" w:cs="Calibri"/>
                <w:color w:val="000000"/>
                <w:lang w:eastAsia="it-IT"/>
              </w:rPr>
              <w:t>U Fossanese</w:t>
            </w:r>
          </w:p>
        </w:tc>
        <w:tc>
          <w:tcPr>
            <w:tcW w:w="6096" w:type="dxa"/>
            <w:noWrap/>
            <w:vAlign w:val="center"/>
            <w:hideMark/>
          </w:tcPr>
          <w:p w14:paraId="2A1679E0" w14:textId="77777777" w:rsidR="006C0A19" w:rsidRPr="006C0A19" w:rsidRDefault="006C0A19" w:rsidP="006C0A19">
            <w:pPr>
              <w:cnfStyle w:val="000000100000" w:firstRow="0" w:lastRow="0" w:firstColumn="0" w:lastColumn="0" w:oddVBand="0" w:evenVBand="0" w:oddHBand="1" w:evenHBand="0" w:firstRowFirstColumn="0" w:firstRowLastColumn="0" w:lastRowFirstColumn="0" w:lastRowLastColumn="0"/>
              <w:rPr>
                <w:rFonts w:ascii="Avenir Next LT Pro" w:eastAsia="Times New Roman" w:hAnsi="Avenir Next LT Pro" w:cs="Calibri"/>
                <w:color w:val="000000"/>
                <w:lang w:eastAsia="it-IT"/>
              </w:rPr>
            </w:pPr>
            <w:r w:rsidRPr="006C0A19">
              <w:rPr>
                <w:rFonts w:ascii="Avenir Next LT Pro" w:eastAsia="Times New Roman" w:hAnsi="Avenir Next LT Pro" w:cs="Calibri"/>
                <w:color w:val="000000"/>
                <w:lang w:eastAsia="it-IT"/>
              </w:rPr>
              <w:t>Non risultano richieste, ma Registro degli accessi è istituito</w:t>
            </w:r>
          </w:p>
        </w:tc>
      </w:tr>
      <w:tr w:rsidR="006C0A19" w:rsidRPr="006C0A19" w14:paraId="35C2CEF6" w14:textId="77777777" w:rsidTr="002D0D86">
        <w:trPr>
          <w:trHeight w:val="324"/>
        </w:trPr>
        <w:tc>
          <w:tcPr>
            <w:cnfStyle w:val="001000000000" w:firstRow="0" w:lastRow="0" w:firstColumn="1" w:lastColumn="0" w:oddVBand="0" w:evenVBand="0" w:oddHBand="0" w:evenHBand="0" w:firstRowFirstColumn="0" w:firstRowLastColumn="0" w:lastRowFirstColumn="0" w:lastRowLastColumn="0"/>
            <w:tcW w:w="2830" w:type="dxa"/>
            <w:noWrap/>
            <w:vAlign w:val="center"/>
            <w:hideMark/>
          </w:tcPr>
          <w:p w14:paraId="46B747B5" w14:textId="77777777" w:rsidR="006C0A19" w:rsidRPr="006C0A19" w:rsidRDefault="006C0A19" w:rsidP="006C0A19">
            <w:pPr>
              <w:rPr>
                <w:rFonts w:ascii="Avenir Next LT Pro" w:eastAsia="Times New Roman" w:hAnsi="Avenir Next LT Pro" w:cs="Calibri"/>
                <w:color w:val="000000"/>
                <w:lang w:eastAsia="it-IT"/>
              </w:rPr>
            </w:pPr>
            <w:r w:rsidRPr="006C0A19">
              <w:rPr>
                <w:rFonts w:ascii="Avenir Next LT Pro" w:eastAsia="Times New Roman" w:hAnsi="Avenir Next LT Pro" w:cs="Calibri"/>
                <w:color w:val="000000"/>
                <w:lang w:eastAsia="it-IT"/>
              </w:rPr>
              <w:t>UC Valle del Savio</w:t>
            </w:r>
          </w:p>
        </w:tc>
        <w:tc>
          <w:tcPr>
            <w:tcW w:w="6096" w:type="dxa"/>
            <w:noWrap/>
            <w:vAlign w:val="center"/>
            <w:hideMark/>
          </w:tcPr>
          <w:p w14:paraId="0046C366" w14:textId="77777777" w:rsidR="006C0A19" w:rsidRPr="006C0A19" w:rsidRDefault="006C0A19" w:rsidP="006C0A19">
            <w:pPr>
              <w:cnfStyle w:val="000000000000" w:firstRow="0" w:lastRow="0" w:firstColumn="0" w:lastColumn="0" w:oddVBand="0" w:evenVBand="0" w:oddHBand="0" w:evenHBand="0" w:firstRowFirstColumn="0" w:firstRowLastColumn="0" w:lastRowFirstColumn="0" w:lastRowLastColumn="0"/>
              <w:rPr>
                <w:rFonts w:ascii="Avenir Next LT Pro" w:eastAsia="Times New Roman" w:hAnsi="Avenir Next LT Pro" w:cs="Calibri"/>
                <w:color w:val="000000"/>
                <w:lang w:eastAsia="it-IT"/>
              </w:rPr>
            </w:pPr>
            <w:r w:rsidRPr="006C0A19">
              <w:rPr>
                <w:rFonts w:ascii="Avenir Next LT Pro" w:eastAsia="Times New Roman" w:hAnsi="Avenir Next LT Pro" w:cs="Calibri"/>
                <w:color w:val="000000"/>
                <w:lang w:eastAsia="it-IT"/>
              </w:rPr>
              <w:t>Non risultano richieste, ma Registro degli accessi è istituito</w:t>
            </w:r>
          </w:p>
        </w:tc>
      </w:tr>
      <w:tr w:rsidR="006C0A19" w:rsidRPr="006C0A19" w14:paraId="0A4E6810" w14:textId="77777777" w:rsidTr="006C0A19">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2830" w:type="dxa"/>
            <w:noWrap/>
            <w:vAlign w:val="center"/>
            <w:hideMark/>
          </w:tcPr>
          <w:p w14:paraId="0D8A81F9" w14:textId="77777777" w:rsidR="006C0A19" w:rsidRPr="006C0A19" w:rsidRDefault="006C0A19" w:rsidP="006C0A19">
            <w:pPr>
              <w:rPr>
                <w:rFonts w:ascii="Avenir Next LT Pro" w:eastAsia="Times New Roman" w:hAnsi="Avenir Next LT Pro" w:cs="Calibri"/>
                <w:color w:val="000000"/>
                <w:lang w:eastAsia="it-IT"/>
              </w:rPr>
            </w:pPr>
            <w:r w:rsidRPr="006C0A19">
              <w:rPr>
                <w:rFonts w:ascii="Avenir Next LT Pro" w:eastAsia="Times New Roman" w:hAnsi="Avenir Next LT Pro" w:cs="Calibri"/>
                <w:color w:val="000000"/>
                <w:lang w:eastAsia="it-IT"/>
              </w:rPr>
              <w:t>UC Valdichiana senese</w:t>
            </w:r>
          </w:p>
        </w:tc>
        <w:tc>
          <w:tcPr>
            <w:tcW w:w="6096" w:type="dxa"/>
            <w:noWrap/>
            <w:vAlign w:val="center"/>
            <w:hideMark/>
          </w:tcPr>
          <w:p w14:paraId="15A8DDB7" w14:textId="77777777" w:rsidR="006C0A19" w:rsidRPr="006C0A19" w:rsidRDefault="006C0A19" w:rsidP="006C0A19">
            <w:pPr>
              <w:cnfStyle w:val="000000100000" w:firstRow="0" w:lastRow="0" w:firstColumn="0" w:lastColumn="0" w:oddVBand="0" w:evenVBand="0" w:oddHBand="1" w:evenHBand="0" w:firstRowFirstColumn="0" w:firstRowLastColumn="0" w:lastRowFirstColumn="0" w:lastRowLastColumn="0"/>
              <w:rPr>
                <w:rFonts w:ascii="Avenir Next LT Pro" w:eastAsia="Times New Roman" w:hAnsi="Avenir Next LT Pro" w:cs="Calibri"/>
                <w:color w:val="000000"/>
                <w:lang w:eastAsia="it-IT"/>
              </w:rPr>
            </w:pPr>
            <w:r w:rsidRPr="006C0A19">
              <w:rPr>
                <w:rFonts w:ascii="Avenir Next LT Pro" w:eastAsia="Times New Roman" w:hAnsi="Avenir Next LT Pro" w:cs="Calibri"/>
                <w:color w:val="000000"/>
                <w:lang w:eastAsia="it-IT"/>
              </w:rPr>
              <w:t>Non risultano richieste, ma Registro degli accessi è istituito</w:t>
            </w:r>
          </w:p>
        </w:tc>
      </w:tr>
      <w:tr w:rsidR="006C0A19" w:rsidRPr="006C0A19" w14:paraId="220FEE07" w14:textId="77777777" w:rsidTr="002D0D86">
        <w:trPr>
          <w:trHeight w:val="324"/>
        </w:trPr>
        <w:tc>
          <w:tcPr>
            <w:cnfStyle w:val="001000000000" w:firstRow="0" w:lastRow="0" w:firstColumn="1" w:lastColumn="0" w:oddVBand="0" w:evenVBand="0" w:oddHBand="0" w:evenHBand="0" w:firstRowFirstColumn="0" w:firstRowLastColumn="0" w:lastRowFirstColumn="0" w:lastRowLastColumn="0"/>
            <w:tcW w:w="2830" w:type="dxa"/>
            <w:noWrap/>
            <w:vAlign w:val="center"/>
            <w:hideMark/>
          </w:tcPr>
          <w:p w14:paraId="7CFAD239" w14:textId="77777777" w:rsidR="006C0A19" w:rsidRPr="006C0A19" w:rsidRDefault="006C0A19" w:rsidP="006C0A19">
            <w:pPr>
              <w:rPr>
                <w:rFonts w:ascii="Avenir Next LT Pro" w:eastAsia="Times New Roman" w:hAnsi="Avenir Next LT Pro" w:cs="Calibri"/>
                <w:color w:val="000000"/>
                <w:lang w:eastAsia="it-IT"/>
              </w:rPr>
            </w:pPr>
            <w:r w:rsidRPr="006C0A19">
              <w:rPr>
                <w:rFonts w:ascii="Avenir Next LT Pro" w:eastAsia="Times New Roman" w:hAnsi="Avenir Next LT Pro" w:cs="Calibri"/>
                <w:color w:val="000000"/>
                <w:lang w:eastAsia="it-IT"/>
              </w:rPr>
              <w:t>UC Valmarecchia</w:t>
            </w:r>
          </w:p>
        </w:tc>
        <w:tc>
          <w:tcPr>
            <w:tcW w:w="6096" w:type="dxa"/>
            <w:noWrap/>
            <w:vAlign w:val="center"/>
            <w:hideMark/>
          </w:tcPr>
          <w:p w14:paraId="3D5FDF8D" w14:textId="77777777" w:rsidR="006C0A19" w:rsidRPr="006C0A19" w:rsidRDefault="006C0A19" w:rsidP="006C0A19">
            <w:pPr>
              <w:cnfStyle w:val="000000000000" w:firstRow="0" w:lastRow="0" w:firstColumn="0" w:lastColumn="0" w:oddVBand="0" w:evenVBand="0" w:oddHBand="0" w:evenHBand="0" w:firstRowFirstColumn="0" w:firstRowLastColumn="0" w:lastRowFirstColumn="0" w:lastRowLastColumn="0"/>
              <w:rPr>
                <w:rFonts w:ascii="Avenir Next LT Pro" w:eastAsia="Times New Roman" w:hAnsi="Avenir Next LT Pro" w:cs="Calibri"/>
                <w:color w:val="000000"/>
                <w:lang w:eastAsia="it-IT"/>
              </w:rPr>
            </w:pPr>
            <w:r w:rsidRPr="006C0A19">
              <w:rPr>
                <w:rFonts w:ascii="Avenir Next LT Pro" w:eastAsia="Times New Roman" w:hAnsi="Avenir Next LT Pro" w:cs="Calibri"/>
                <w:color w:val="000000"/>
                <w:lang w:eastAsia="it-IT"/>
              </w:rPr>
              <w:t>Non risultano richieste, ma Registro degli accessi è istituito</w:t>
            </w:r>
          </w:p>
        </w:tc>
      </w:tr>
      <w:tr w:rsidR="006C0A19" w:rsidRPr="006C0A19" w14:paraId="645EA685" w14:textId="77777777" w:rsidTr="006C0A19">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2830" w:type="dxa"/>
            <w:noWrap/>
            <w:vAlign w:val="center"/>
            <w:hideMark/>
          </w:tcPr>
          <w:p w14:paraId="582B5929" w14:textId="77777777" w:rsidR="006C0A19" w:rsidRPr="006C0A19" w:rsidRDefault="006C0A19" w:rsidP="006C0A19">
            <w:pPr>
              <w:rPr>
                <w:rFonts w:ascii="Avenir Next LT Pro" w:eastAsia="Times New Roman" w:hAnsi="Avenir Next LT Pro" w:cs="Calibri"/>
                <w:color w:val="000000"/>
                <w:lang w:eastAsia="it-IT"/>
              </w:rPr>
            </w:pPr>
            <w:r w:rsidRPr="006C0A19">
              <w:rPr>
                <w:rFonts w:ascii="Avenir Next LT Pro" w:eastAsia="Times New Roman" w:hAnsi="Avenir Next LT Pro" w:cs="Calibri"/>
                <w:color w:val="000000"/>
                <w:lang w:eastAsia="it-IT"/>
              </w:rPr>
              <w:t>UC Garfagnana</w:t>
            </w:r>
          </w:p>
        </w:tc>
        <w:tc>
          <w:tcPr>
            <w:tcW w:w="6096" w:type="dxa"/>
            <w:noWrap/>
            <w:vAlign w:val="center"/>
            <w:hideMark/>
          </w:tcPr>
          <w:p w14:paraId="120852D6" w14:textId="77777777" w:rsidR="006C0A19" w:rsidRPr="006C0A19" w:rsidRDefault="006C0A19" w:rsidP="006C0A19">
            <w:pPr>
              <w:cnfStyle w:val="000000100000" w:firstRow="0" w:lastRow="0" w:firstColumn="0" w:lastColumn="0" w:oddVBand="0" w:evenVBand="0" w:oddHBand="1" w:evenHBand="0" w:firstRowFirstColumn="0" w:firstRowLastColumn="0" w:lastRowFirstColumn="0" w:lastRowLastColumn="0"/>
              <w:rPr>
                <w:rFonts w:ascii="Avenir Next LT Pro" w:eastAsia="Times New Roman" w:hAnsi="Avenir Next LT Pro" w:cs="Calibri"/>
                <w:color w:val="000000"/>
                <w:lang w:eastAsia="it-IT"/>
              </w:rPr>
            </w:pPr>
            <w:r w:rsidRPr="006C0A19">
              <w:rPr>
                <w:rFonts w:ascii="Avenir Next LT Pro" w:eastAsia="Times New Roman" w:hAnsi="Avenir Next LT Pro" w:cs="Calibri"/>
                <w:color w:val="000000"/>
                <w:lang w:eastAsia="it-IT"/>
              </w:rPr>
              <w:t>Non risultano richieste, ma Registro degli accessi è istituito</w:t>
            </w:r>
          </w:p>
        </w:tc>
      </w:tr>
    </w:tbl>
    <w:p w14:paraId="1E2720CC" w14:textId="77777777" w:rsidR="006C0A19" w:rsidRPr="006C0A19" w:rsidRDefault="006C0A19" w:rsidP="006C0A19">
      <w:pPr>
        <w:keepNext/>
        <w:spacing w:before="120" w:after="200" w:line="276" w:lineRule="auto"/>
        <w:jc w:val="both"/>
        <w:rPr>
          <w:rFonts w:ascii="Avenir Next LT Pro" w:eastAsia="Palatino Linotype" w:hAnsi="Avenir Next LT Pro" w:cs="Palatino Linotype"/>
          <w:sz w:val="23"/>
        </w:rPr>
      </w:pPr>
      <w:r w:rsidRPr="006C0A19">
        <w:rPr>
          <w:rFonts w:ascii="Avenir Next LT Pro" w:eastAsia="MS Mincho" w:hAnsi="Avenir Next LT Pro" w:cs="Times New Roman"/>
          <w:sz w:val="20"/>
          <w:szCs w:val="20"/>
        </w:rPr>
        <w:t xml:space="preserve">Fonte: rielaborazione </w:t>
      </w:r>
      <w:r w:rsidRPr="006C0A19">
        <w:rPr>
          <w:rFonts w:ascii="Avenir Next LT Pro" w:eastAsia="Palatino Linotype" w:hAnsi="Avenir Next LT Pro" w:cs="Palatino Linotype"/>
          <w:sz w:val="20"/>
          <w:szCs w:val="20"/>
        </w:rPr>
        <w:t>da sezione Amministrazione Trasparente sui siti web delle Unioni</w:t>
      </w:r>
    </w:p>
    <w:p w14:paraId="5E21FBD6" w14:textId="77777777" w:rsidR="006C0A19" w:rsidRPr="006C0A19" w:rsidRDefault="006C0A19" w:rsidP="006C0A19">
      <w:pPr>
        <w:spacing w:after="200" w:line="276" w:lineRule="auto"/>
        <w:jc w:val="both"/>
        <w:rPr>
          <w:rFonts w:ascii="Avenir Next LT Pro" w:eastAsia="MS Mincho" w:hAnsi="Avenir Next LT Pro" w:cs="Times New Roman"/>
          <w:smallCaps/>
          <w:kern w:val="24"/>
          <w:sz w:val="24"/>
          <w:szCs w:val="24"/>
        </w:rPr>
      </w:pPr>
    </w:p>
    <w:p w14:paraId="58C736C1" w14:textId="77777777" w:rsidR="006C0A19" w:rsidRPr="006C0A19" w:rsidRDefault="006C0A19" w:rsidP="006C0A19">
      <w:pPr>
        <w:spacing w:after="200" w:line="276" w:lineRule="auto"/>
        <w:jc w:val="both"/>
        <w:rPr>
          <w:rFonts w:ascii="Avenir Next LT Pro" w:eastAsia="MS Mincho" w:hAnsi="Avenir Next LT Pro" w:cs="Times New Roman"/>
          <w:smallCaps/>
          <w:kern w:val="24"/>
          <w:sz w:val="24"/>
          <w:szCs w:val="24"/>
        </w:rPr>
      </w:pPr>
    </w:p>
    <w:p w14:paraId="5400C7B1" w14:textId="7397EB2C" w:rsidR="00307005" w:rsidRPr="006C0A19" w:rsidRDefault="006C0A19" w:rsidP="006C0A19">
      <w:pPr>
        <w:spacing w:after="200" w:line="276" w:lineRule="auto"/>
        <w:jc w:val="both"/>
        <w:rPr>
          <w:rFonts w:ascii="Avenir Next LT Pro" w:eastAsia="MS Mincho" w:hAnsi="Avenir Next LT Pro" w:cs="Times New Roman"/>
          <w:sz w:val="23"/>
        </w:rPr>
      </w:pPr>
      <w:r w:rsidRPr="006C0A19">
        <w:rPr>
          <w:rFonts w:ascii="Avenir Next LT Pro" w:eastAsia="MS Mincho" w:hAnsi="Avenir Next LT Pro" w:cs="Times New Roman"/>
          <w:noProof/>
          <w:sz w:val="23"/>
          <w:lang w:eastAsia="it-IT"/>
        </w:rPr>
        <mc:AlternateContent>
          <mc:Choice Requires="wps">
            <w:drawing>
              <wp:anchor distT="0" distB="0" distL="114300" distR="114300" simplePos="0" relativeHeight="251659264" behindDoc="0" locked="0" layoutInCell="1" allowOverlap="1" wp14:anchorId="0799C252" wp14:editId="30C089B3">
                <wp:simplePos x="0" y="0"/>
                <wp:positionH relativeFrom="page">
                  <wp:posOffset>5080</wp:posOffset>
                </wp:positionH>
                <wp:positionV relativeFrom="paragraph">
                  <wp:posOffset>4820920</wp:posOffset>
                </wp:positionV>
                <wp:extent cx="7635240" cy="2890308"/>
                <wp:effectExtent l="0" t="0" r="3810" b="5715"/>
                <wp:wrapNone/>
                <wp:docPr id="59" name="Rettangolo 59"/>
                <wp:cNvGraphicFramePr/>
                <a:graphic xmlns:a="http://schemas.openxmlformats.org/drawingml/2006/main">
                  <a:graphicData uri="http://schemas.microsoft.com/office/word/2010/wordprocessingShape">
                    <wps:wsp>
                      <wps:cNvSpPr/>
                      <wps:spPr>
                        <a:xfrm>
                          <a:off x="0" y="0"/>
                          <a:ext cx="7635240" cy="2890308"/>
                        </a:xfrm>
                        <a:prstGeom prst="rect">
                          <a:avLst/>
                        </a:prstGeom>
                        <a:gradFill flip="none" rotWithShape="1">
                          <a:gsLst>
                            <a:gs pos="0">
                              <a:srgbClr val="C1D9CB">
                                <a:lumMod val="5000"/>
                                <a:lumOff val="95000"/>
                              </a:srgbClr>
                            </a:gs>
                            <a:gs pos="74000">
                              <a:srgbClr val="C1D9CB">
                                <a:lumMod val="45000"/>
                                <a:lumOff val="55000"/>
                              </a:srgbClr>
                            </a:gs>
                            <a:gs pos="83000">
                              <a:srgbClr val="C1D9CB">
                                <a:lumMod val="45000"/>
                                <a:lumOff val="55000"/>
                              </a:srgbClr>
                            </a:gs>
                            <a:gs pos="100000">
                              <a:srgbClr val="C1D9CB">
                                <a:lumMod val="30000"/>
                                <a:lumOff val="70000"/>
                              </a:srgbClr>
                            </a:gs>
                          </a:gsLst>
                          <a:lin ang="5400000" scaled="1"/>
                          <a:tileRect/>
                        </a:gradFill>
                        <a:ln w="25400">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247865" id="Rettangolo 59" o:spid="_x0000_s1026" style="position:absolute;margin-left:.4pt;margin-top:379.6pt;width:601.2pt;height:227.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" fillcolor="#fcfdfc" stroked="f" strokeweight="2pt">
                <v:fill color2="#ecf4ef" rotate="t" colors="0 #fcfdfc;48497f #e3eee8;54395f #e3eee8;1 #ecf4ef" focus="100%" type="gradient"/>
                <w10:wrap anchorx="page"/>
              </v:rect>
            </w:pict>
          </mc:Fallback>
        </mc:AlternateContent>
      </w:r>
    </w:p>
    <w:sectPr w:rsidR="00307005" w:rsidRPr="006C0A1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9FC05" w14:textId="77777777" w:rsidR="006C0A19" w:rsidRDefault="006C0A19" w:rsidP="006C0A19">
      <w:pPr>
        <w:spacing w:after="0" w:line="240" w:lineRule="auto"/>
      </w:pPr>
      <w:r>
        <w:separator/>
      </w:r>
    </w:p>
  </w:endnote>
  <w:endnote w:type="continuationSeparator" w:id="0">
    <w:p w14:paraId="562FB410" w14:textId="77777777" w:rsidR="006C0A19" w:rsidRDefault="006C0A19" w:rsidP="006C0A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venir Next LT Pro">
    <w:altName w:val="Avenir Next LT Pro"/>
    <w:charset w:val="00"/>
    <w:family w:val="swiss"/>
    <w:pitch w:val="variable"/>
    <w:sig w:usb0="800000EF" w:usb1="5000204A" w:usb2="00000000" w:usb3="00000000" w:csb0="00000093"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0BF80" w14:textId="77777777" w:rsidR="006C0A19" w:rsidRDefault="006C0A19" w:rsidP="006C0A19">
      <w:pPr>
        <w:spacing w:after="0" w:line="240" w:lineRule="auto"/>
      </w:pPr>
      <w:r>
        <w:separator/>
      </w:r>
    </w:p>
  </w:footnote>
  <w:footnote w:type="continuationSeparator" w:id="0">
    <w:p w14:paraId="7DAAFDC1" w14:textId="77777777" w:rsidR="006C0A19" w:rsidRDefault="006C0A19" w:rsidP="006C0A19">
      <w:pPr>
        <w:spacing w:after="0" w:line="240" w:lineRule="auto"/>
      </w:pPr>
      <w:r>
        <w:continuationSeparator/>
      </w:r>
    </w:p>
  </w:footnote>
  <w:footnote w:id="1">
    <w:p w14:paraId="656F5D8F" w14:textId="77777777" w:rsidR="006C0A19" w:rsidRPr="00984C2D" w:rsidRDefault="006C0A19" w:rsidP="006C0A19">
      <w:pPr>
        <w:pStyle w:val="Testonotaapidipagina"/>
        <w:rPr>
          <w:b/>
          <w:bCs/>
        </w:rPr>
      </w:pPr>
      <w:r w:rsidRPr="00984C2D">
        <w:rPr>
          <w:rStyle w:val="Rimandonotaapidipagina"/>
          <w:bCs/>
        </w:rPr>
        <w:footnoteRef/>
      </w:r>
      <w:r w:rsidRPr="00984C2D">
        <w:rPr>
          <w:rStyle w:val="Rimandonotaapidipagina"/>
          <w:bCs/>
        </w:rPr>
        <w:t xml:space="preserve"> </w:t>
      </w:r>
      <w:r w:rsidRPr="00984C2D">
        <w:rPr>
          <w:bCs/>
        </w:rPr>
        <w:t>Decreto legislativo n. 97 del 2016.</w:t>
      </w:r>
    </w:p>
  </w:footnote>
  <w:footnote w:id="2">
    <w:p w14:paraId="7C65265D" w14:textId="77777777" w:rsidR="006C0A19" w:rsidRDefault="006C0A19" w:rsidP="006C0A19">
      <w:r>
        <w:rPr>
          <w:rStyle w:val="Rimandonotaapidipagina"/>
        </w:rPr>
        <w:footnoteRef/>
      </w:r>
      <w:r>
        <w:t xml:space="preserve"> </w:t>
      </w:r>
      <w:r w:rsidRPr="008F25DC">
        <w:rPr>
          <w:sz w:val="20"/>
        </w:rPr>
        <w:t>Aggiorna</w:t>
      </w:r>
      <w:r>
        <w:rPr>
          <w:sz w:val="20"/>
        </w:rPr>
        <w:t>ment</w:t>
      </w:r>
      <w:r w:rsidRPr="008F25DC">
        <w:rPr>
          <w:sz w:val="20"/>
        </w:rPr>
        <w:t>o al 2020 o al 2019</w:t>
      </w:r>
      <w:r w:rsidRPr="00D52B6A">
        <w:t>.</w:t>
      </w:r>
    </w:p>
  </w:footnote>
  <w:footnote w:id="3">
    <w:p w14:paraId="4F7DC1CF" w14:textId="77777777" w:rsidR="006C0A19" w:rsidRDefault="006C0A19" w:rsidP="006C0A19">
      <w:r>
        <w:rPr>
          <w:rStyle w:val="Rimandonotaapidipagina"/>
        </w:rPr>
        <w:footnoteRef/>
      </w:r>
      <w:r>
        <w:t xml:space="preserve"> </w:t>
      </w:r>
      <w:r>
        <w:rPr>
          <w:sz w:val="20"/>
          <w:szCs w:val="20"/>
        </w:rPr>
        <w:t>Nella Relazione m</w:t>
      </w:r>
      <w:r w:rsidRPr="00C774EF">
        <w:rPr>
          <w:sz w:val="20"/>
          <w:szCs w:val="20"/>
        </w:rPr>
        <w:t>ancano i tempi medi per ciascun procedimento.</w:t>
      </w:r>
    </w:p>
  </w:footnote>
  <w:footnote w:id="4">
    <w:p w14:paraId="2680FE23" w14:textId="77777777" w:rsidR="006C0A19" w:rsidRPr="00BB0011" w:rsidRDefault="006C0A19" w:rsidP="006C0A19">
      <w:pPr>
        <w:pStyle w:val="Testonotaapidipagina"/>
        <w:rPr>
          <w:b/>
          <w:bCs/>
        </w:rPr>
      </w:pPr>
      <w:r w:rsidRPr="00BB0011">
        <w:rPr>
          <w:rStyle w:val="Rimandonotaapidipagina"/>
          <w:bCs/>
        </w:rPr>
        <w:footnoteRef/>
      </w:r>
      <w:r w:rsidRPr="00BB0011">
        <w:rPr>
          <w:bCs/>
        </w:rPr>
        <w:t xml:space="preserve"> Le app di segnalazione (ad es</w:t>
      </w:r>
      <w:r>
        <w:rPr>
          <w:bCs/>
        </w:rPr>
        <w:t>empio, quelle per segnalare</w:t>
      </w:r>
      <w:r w:rsidRPr="00BB0011">
        <w:rPr>
          <w:bCs/>
        </w:rPr>
        <w:t xml:space="preserve"> guasti) non </w:t>
      </w:r>
      <w:r>
        <w:rPr>
          <w:bCs/>
        </w:rPr>
        <w:t>state considerate nella</w:t>
      </w:r>
      <w:r w:rsidRPr="00BB0011">
        <w:rPr>
          <w:bCs/>
        </w:rPr>
        <w:t xml:space="preserve"> valutazione.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190EB2"/>
    <w:multiLevelType w:val="multilevel"/>
    <w:tmpl w:val="BB5C63FA"/>
    <w:lvl w:ilvl="0">
      <w:start w:val="1"/>
      <w:numFmt w:val="decimal"/>
      <w:pStyle w:val="Titolo11"/>
      <w:lvlText w:val="%1."/>
      <w:lvlJc w:val="left"/>
      <w:pPr>
        <w:ind w:left="1080" w:hanging="360"/>
      </w:pPr>
    </w:lvl>
    <w:lvl w:ilvl="1">
      <w:start w:val="1"/>
      <w:numFmt w:val="decimal"/>
      <w:isLgl/>
      <w:lvlText w:val="%1.%2"/>
      <w:lvlJc w:val="left"/>
      <w:pPr>
        <w:ind w:left="1080" w:hanging="360"/>
      </w:pPr>
      <w:rPr>
        <w:rFonts w:hint="default"/>
      </w:rPr>
    </w:lvl>
    <w:lvl w:ilvl="2">
      <w:start w:val="1"/>
      <w:numFmt w:val="decimal"/>
      <w:pStyle w:val="Titolo31"/>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num w:numId="1" w16cid:durableId="10339677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A19"/>
    <w:rsid w:val="004F378A"/>
    <w:rsid w:val="006C0428"/>
    <w:rsid w:val="006C0A19"/>
    <w:rsid w:val="008529C8"/>
    <w:rsid w:val="00D203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DD22F"/>
  <w15:chartTrackingRefBased/>
  <w15:docId w15:val="{6C373E8D-1B89-4AB8-B790-E1134490C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6C0A1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6C0A1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6C0A19"/>
    <w:rPr>
      <w:sz w:val="20"/>
      <w:szCs w:val="20"/>
    </w:rPr>
  </w:style>
  <w:style w:type="paragraph" w:customStyle="1" w:styleId="Titolo11">
    <w:name w:val="Titolo 11"/>
    <w:basedOn w:val="Normale"/>
    <w:next w:val="Titolo1"/>
    <w:autoRedefine/>
    <w:uiPriority w:val="9"/>
    <w:qFormat/>
    <w:rsid w:val="006C0A19"/>
    <w:pPr>
      <w:keepNext/>
      <w:numPr>
        <w:numId w:val="1"/>
      </w:numPr>
      <w:tabs>
        <w:tab w:val="num" w:pos="360"/>
      </w:tabs>
      <w:spacing w:after="240" w:line="288" w:lineRule="auto"/>
      <w:ind w:left="0" w:firstLine="0"/>
      <w:jc w:val="both"/>
      <w:outlineLvl w:val="0"/>
    </w:pPr>
    <w:rPr>
      <w:rFonts w:ascii="Palatino Linotype" w:eastAsia="MS Gothic" w:hAnsi="Palatino Linotype" w:cs="Times New Roman"/>
      <w:b/>
      <w:smallCaps/>
      <w:color w:val="256D9D"/>
      <w:kern w:val="28"/>
      <w:sz w:val="24"/>
      <w:szCs w:val="32"/>
    </w:rPr>
  </w:style>
  <w:style w:type="paragraph" w:customStyle="1" w:styleId="Titolo31">
    <w:name w:val="Titolo 31"/>
    <w:basedOn w:val="Normale"/>
    <w:next w:val="Normale"/>
    <w:autoRedefine/>
    <w:uiPriority w:val="9"/>
    <w:unhideWhenUsed/>
    <w:qFormat/>
    <w:rsid w:val="006C0A19"/>
    <w:pPr>
      <w:keepNext/>
      <w:keepLines/>
      <w:numPr>
        <w:ilvl w:val="2"/>
        <w:numId w:val="1"/>
      </w:numPr>
      <w:tabs>
        <w:tab w:val="num" w:pos="360"/>
      </w:tabs>
      <w:spacing w:after="240" w:line="288" w:lineRule="auto"/>
      <w:ind w:left="0" w:firstLine="0"/>
      <w:jc w:val="both"/>
      <w:outlineLvl w:val="2"/>
    </w:pPr>
    <w:rPr>
      <w:rFonts w:ascii="Palatino Linotype" w:eastAsia="MS Gothic" w:hAnsi="Palatino Linotype" w:cs="Times New Roman"/>
      <w:b/>
      <w:color w:val="256D9D"/>
      <w:sz w:val="24"/>
      <w:szCs w:val="24"/>
    </w:rPr>
  </w:style>
  <w:style w:type="character" w:styleId="Rimandonotaapidipagina">
    <w:name w:val="footnote reference"/>
    <w:basedOn w:val="Carpredefinitoparagrafo"/>
    <w:uiPriority w:val="99"/>
    <w:unhideWhenUsed/>
    <w:rsid w:val="006C0A19"/>
    <w:rPr>
      <w:vertAlign w:val="superscript"/>
    </w:rPr>
  </w:style>
  <w:style w:type="table" w:customStyle="1" w:styleId="Tabellagriglia4-colore21">
    <w:name w:val="Tabella griglia 4 - colore 21"/>
    <w:basedOn w:val="Tabellanormale"/>
    <w:next w:val="Tabellagriglia4-colore2"/>
    <w:uiPriority w:val="49"/>
    <w:rsid w:val="006C0A19"/>
    <w:pPr>
      <w:spacing w:after="0" w:line="240" w:lineRule="auto"/>
    </w:pPr>
    <w:rPr>
      <w:sz w:val="24"/>
      <w:szCs w:val="24"/>
    </w:rPr>
    <w:tblPr>
      <w:tblStyleRowBandSize w:val="1"/>
      <w:tblStyleColBandSize w:val="1"/>
      <w:tblBorders>
        <w:top w:val="single" w:sz="4" w:space="0" w:color="85BDE2"/>
        <w:left w:val="single" w:sz="4" w:space="0" w:color="85BDE2"/>
        <w:bottom w:val="single" w:sz="4" w:space="0" w:color="85BDE2"/>
        <w:right w:val="single" w:sz="4" w:space="0" w:color="85BDE2"/>
        <w:insideH w:val="single" w:sz="4" w:space="0" w:color="85BDE2"/>
        <w:insideV w:val="single" w:sz="4" w:space="0" w:color="85BDE2"/>
      </w:tblBorders>
    </w:tblPr>
    <w:tblStylePr w:type="firstRow">
      <w:rPr>
        <w:b/>
        <w:bCs/>
        <w:color w:val="FFFFFF"/>
      </w:rPr>
      <w:tblPr/>
      <w:tcPr>
        <w:tcBorders>
          <w:top w:val="single" w:sz="4" w:space="0" w:color="3592CF"/>
          <w:left w:val="single" w:sz="4" w:space="0" w:color="3592CF"/>
          <w:bottom w:val="single" w:sz="4" w:space="0" w:color="3592CF"/>
          <w:right w:val="single" w:sz="4" w:space="0" w:color="3592CF"/>
          <w:insideH w:val="nil"/>
          <w:insideV w:val="nil"/>
        </w:tcBorders>
        <w:shd w:val="clear" w:color="auto" w:fill="3592CF"/>
      </w:tcPr>
    </w:tblStylePr>
    <w:tblStylePr w:type="lastRow">
      <w:rPr>
        <w:b/>
        <w:bCs/>
      </w:rPr>
      <w:tblPr/>
      <w:tcPr>
        <w:tcBorders>
          <w:top w:val="double" w:sz="4" w:space="0" w:color="3592CF"/>
        </w:tcBorders>
      </w:tcPr>
    </w:tblStylePr>
    <w:tblStylePr w:type="firstCol">
      <w:rPr>
        <w:b/>
        <w:bCs/>
      </w:rPr>
    </w:tblStylePr>
    <w:tblStylePr w:type="lastCol">
      <w:rPr>
        <w:b/>
        <w:bCs/>
      </w:rPr>
    </w:tblStylePr>
    <w:tblStylePr w:type="band1Vert">
      <w:tblPr/>
      <w:tcPr>
        <w:shd w:val="clear" w:color="auto" w:fill="D6E9F5"/>
      </w:tcPr>
    </w:tblStylePr>
    <w:tblStylePr w:type="band1Horz">
      <w:tblPr/>
      <w:tcPr>
        <w:shd w:val="clear" w:color="auto" w:fill="D6E9F5"/>
      </w:tcPr>
    </w:tblStylePr>
  </w:style>
  <w:style w:type="paragraph" w:customStyle="1" w:styleId="Didascalia1">
    <w:name w:val="Didascalia1"/>
    <w:basedOn w:val="Normale"/>
    <w:next w:val="Normale"/>
    <w:uiPriority w:val="99"/>
    <w:unhideWhenUsed/>
    <w:rsid w:val="006C0A19"/>
    <w:pPr>
      <w:spacing w:after="200" w:line="240" w:lineRule="auto"/>
      <w:jc w:val="both"/>
    </w:pPr>
    <w:rPr>
      <w:rFonts w:ascii="Palatino Linotype" w:eastAsia="MS Mincho" w:hAnsi="Palatino Linotype"/>
      <w:i/>
      <w:iCs/>
      <w:color w:val="082A75"/>
      <w:sz w:val="18"/>
      <w:szCs w:val="18"/>
    </w:rPr>
  </w:style>
  <w:style w:type="character" w:customStyle="1" w:styleId="Titolo1Carattere">
    <w:name w:val="Titolo 1 Carattere"/>
    <w:basedOn w:val="Carpredefinitoparagrafo"/>
    <w:link w:val="Titolo1"/>
    <w:uiPriority w:val="9"/>
    <w:rsid w:val="006C0A19"/>
    <w:rPr>
      <w:rFonts w:asciiTheme="majorHAnsi" w:eastAsiaTheme="majorEastAsia" w:hAnsiTheme="majorHAnsi" w:cstheme="majorBidi"/>
      <w:color w:val="2F5496" w:themeColor="accent1" w:themeShade="BF"/>
      <w:sz w:val="32"/>
      <w:szCs w:val="32"/>
    </w:rPr>
  </w:style>
  <w:style w:type="table" w:styleId="Tabellagriglia4-colore2">
    <w:name w:val="Grid Table 4 Accent 2"/>
    <w:basedOn w:val="Tabellanormale"/>
    <w:uiPriority w:val="49"/>
    <w:rsid w:val="006C0A19"/>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embeddings/oleObject1.bin"/></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embeddings/oleObject2.bin"/></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rgbClr val="FF7C80"/>
            </a:solidFill>
            <a:ln>
              <a:noFill/>
            </a:ln>
            <a:effectLst/>
            <a:sp3d/>
          </c:spPr>
          <c:invertIfNegative val="0"/>
          <c:dPt>
            <c:idx val="0"/>
            <c:invertIfNegative val="0"/>
            <c:bubble3D val="0"/>
            <c:spPr>
              <a:solidFill>
                <a:schemeClr val="accent1">
                  <a:lumMod val="75000"/>
                </a:schemeClr>
              </a:solidFill>
              <a:ln>
                <a:noFill/>
              </a:ln>
              <a:effectLst/>
              <a:sp3d/>
            </c:spPr>
            <c:extLst>
              <c:ext xmlns:c16="http://schemas.microsoft.com/office/drawing/2014/chart" uri="{C3380CC4-5D6E-409C-BE32-E72D297353CC}">
                <c16:uniqueId val="{00000001-7D9B-448F-B87C-F9C6507E3352}"/>
              </c:ext>
            </c:extLst>
          </c:dPt>
          <c:dPt>
            <c:idx val="1"/>
            <c:invertIfNegative val="0"/>
            <c:bubble3D val="0"/>
            <c:spPr>
              <a:solidFill>
                <a:srgbClr val="B9CDE5"/>
              </a:solidFill>
              <a:ln>
                <a:noFill/>
              </a:ln>
              <a:effectLst/>
              <a:sp3d/>
            </c:spPr>
            <c:extLst>
              <c:ext xmlns:c16="http://schemas.microsoft.com/office/drawing/2014/chart" uri="{C3380CC4-5D6E-409C-BE32-E72D297353CC}">
                <c16:uniqueId val="{00000003-7D9B-448F-B87C-F9C6507E3352}"/>
              </c:ext>
            </c:extLst>
          </c:dPt>
          <c:dPt>
            <c:idx val="2"/>
            <c:invertIfNegative val="0"/>
            <c:bubble3D val="0"/>
            <c:spPr>
              <a:solidFill>
                <a:srgbClr val="B9CDE5"/>
              </a:solidFill>
              <a:ln>
                <a:noFill/>
              </a:ln>
              <a:effectLst/>
              <a:sp3d/>
            </c:spPr>
            <c:extLst>
              <c:ext xmlns:c16="http://schemas.microsoft.com/office/drawing/2014/chart" uri="{C3380CC4-5D6E-409C-BE32-E72D297353CC}">
                <c16:uniqueId val="{00000005-7D9B-448F-B87C-F9C6507E3352}"/>
              </c:ext>
            </c:extLst>
          </c:dPt>
          <c:dPt>
            <c:idx val="3"/>
            <c:invertIfNegative val="0"/>
            <c:bubble3D val="0"/>
            <c:spPr>
              <a:solidFill>
                <a:schemeClr val="accent1">
                  <a:lumMod val="40000"/>
                  <a:lumOff val="60000"/>
                </a:schemeClr>
              </a:solidFill>
              <a:ln>
                <a:noFill/>
              </a:ln>
              <a:effectLst/>
              <a:sp3d/>
            </c:spPr>
            <c:extLst>
              <c:ext xmlns:c16="http://schemas.microsoft.com/office/drawing/2014/chart" uri="{C3380CC4-5D6E-409C-BE32-E72D297353CC}">
                <c16:uniqueId val="{00000007-7D9B-448F-B87C-F9C6507E3352}"/>
              </c:ext>
            </c:extLst>
          </c:dPt>
          <c:dPt>
            <c:idx val="4"/>
            <c:invertIfNegative val="0"/>
            <c:bubble3D val="0"/>
            <c:spPr>
              <a:solidFill>
                <a:srgbClr val="B2DE82"/>
              </a:solidFill>
              <a:ln>
                <a:noFill/>
              </a:ln>
              <a:effectLst/>
              <a:sp3d/>
            </c:spPr>
            <c:extLst>
              <c:ext xmlns:c16="http://schemas.microsoft.com/office/drawing/2014/chart" uri="{C3380CC4-5D6E-409C-BE32-E72D297353CC}">
                <c16:uniqueId val="{00000009-7D9B-448F-B87C-F9C6507E3352}"/>
              </c:ext>
            </c:extLst>
          </c:dPt>
          <c:dPt>
            <c:idx val="5"/>
            <c:invertIfNegative val="0"/>
            <c:bubble3D val="0"/>
            <c:spPr>
              <a:solidFill>
                <a:srgbClr val="FFFF81"/>
              </a:solidFill>
              <a:ln>
                <a:noFill/>
              </a:ln>
              <a:effectLst/>
              <a:sp3d/>
            </c:spPr>
            <c:extLst>
              <c:ext xmlns:c16="http://schemas.microsoft.com/office/drawing/2014/chart" uri="{C3380CC4-5D6E-409C-BE32-E72D297353CC}">
                <c16:uniqueId val="{0000000B-7D9B-448F-B87C-F9C6507E3352}"/>
              </c:ext>
            </c:extLst>
          </c:dPt>
          <c:dPt>
            <c:idx val="6"/>
            <c:invertIfNegative val="0"/>
            <c:bubble3D val="0"/>
            <c:spPr>
              <a:solidFill>
                <a:srgbClr val="FFC1C1"/>
              </a:solidFill>
              <a:ln>
                <a:noFill/>
              </a:ln>
              <a:effectLst/>
              <a:sp3d/>
            </c:spPr>
            <c:extLst>
              <c:ext xmlns:c16="http://schemas.microsoft.com/office/drawing/2014/chart" uri="{C3380CC4-5D6E-409C-BE32-E72D297353CC}">
                <c16:uniqueId val="{0000000D-7D9B-448F-B87C-F9C6507E3352}"/>
              </c:ext>
            </c:extLst>
          </c:dPt>
          <c:dPt>
            <c:idx val="7"/>
            <c:invertIfNegative val="0"/>
            <c:bubble3D val="0"/>
            <c:spPr>
              <a:solidFill>
                <a:srgbClr val="FFC1C1"/>
              </a:solidFill>
              <a:ln>
                <a:noFill/>
              </a:ln>
              <a:effectLst/>
              <a:sp3d/>
            </c:spPr>
            <c:extLst>
              <c:ext xmlns:c16="http://schemas.microsoft.com/office/drawing/2014/chart" uri="{C3380CC4-5D6E-409C-BE32-E72D297353CC}">
                <c16:uniqueId val="{0000000F-7D9B-448F-B87C-F9C6507E3352}"/>
              </c:ext>
            </c:extLst>
          </c:dPt>
          <c:dPt>
            <c:idx val="8"/>
            <c:invertIfNegative val="0"/>
            <c:bubble3D val="0"/>
            <c:extLst>
              <c:ext xmlns:c16="http://schemas.microsoft.com/office/drawing/2014/chart" uri="{C3380CC4-5D6E-409C-BE32-E72D297353CC}">
                <c16:uniqueId val="{00000010-7D9B-448F-B87C-F9C6507E3352}"/>
              </c:ext>
            </c:extLst>
          </c:dPt>
          <c:dPt>
            <c:idx val="20"/>
            <c:invertIfNegative val="0"/>
            <c:bubble3D val="0"/>
            <c:spPr>
              <a:solidFill>
                <a:schemeClr val="bg1">
                  <a:lumMod val="50000"/>
                </a:schemeClr>
              </a:solidFill>
              <a:ln>
                <a:noFill/>
              </a:ln>
              <a:effectLst/>
              <a:sp3d/>
            </c:spPr>
            <c:extLst>
              <c:ext xmlns:c16="http://schemas.microsoft.com/office/drawing/2014/chart" uri="{C3380CC4-5D6E-409C-BE32-E72D297353CC}">
                <c16:uniqueId val="{00000012-7D9B-448F-B87C-F9C6507E3352}"/>
              </c:ext>
            </c:extLst>
          </c:dPt>
          <c:dPt>
            <c:idx val="21"/>
            <c:invertIfNegative val="0"/>
            <c:bubble3D val="0"/>
            <c:spPr>
              <a:solidFill>
                <a:schemeClr val="bg1">
                  <a:lumMod val="50000"/>
                </a:schemeClr>
              </a:solidFill>
              <a:ln>
                <a:noFill/>
              </a:ln>
              <a:effectLst/>
              <a:sp3d/>
            </c:spPr>
            <c:extLst>
              <c:ext xmlns:c16="http://schemas.microsoft.com/office/drawing/2014/chart" uri="{C3380CC4-5D6E-409C-BE32-E72D297353CC}">
                <c16:uniqueId val="{00000014-7D9B-448F-B87C-F9C6507E3352}"/>
              </c:ext>
            </c:extLst>
          </c:dPt>
          <c:dPt>
            <c:idx val="22"/>
            <c:invertIfNegative val="0"/>
            <c:bubble3D val="0"/>
            <c:spPr>
              <a:solidFill>
                <a:schemeClr val="bg1">
                  <a:lumMod val="50000"/>
                </a:schemeClr>
              </a:solidFill>
              <a:ln>
                <a:noFill/>
              </a:ln>
              <a:effectLst/>
              <a:sp3d/>
            </c:spPr>
            <c:extLst>
              <c:ext xmlns:c16="http://schemas.microsoft.com/office/drawing/2014/chart" uri="{C3380CC4-5D6E-409C-BE32-E72D297353CC}">
                <c16:uniqueId val="{00000016-7D9B-448F-B87C-F9C6507E3352}"/>
              </c:ext>
            </c:extLst>
          </c:dPt>
          <c:dPt>
            <c:idx val="23"/>
            <c:invertIfNegative val="0"/>
            <c:bubble3D val="0"/>
            <c:spPr>
              <a:solidFill>
                <a:schemeClr val="bg1">
                  <a:lumMod val="50000"/>
                </a:schemeClr>
              </a:solidFill>
              <a:ln>
                <a:noFill/>
              </a:ln>
              <a:effectLst/>
              <a:sp3d/>
            </c:spPr>
            <c:extLst>
              <c:ext xmlns:c16="http://schemas.microsoft.com/office/drawing/2014/chart" uri="{C3380CC4-5D6E-409C-BE32-E72D297353CC}">
                <c16:uniqueId val="{00000018-7D9B-448F-B87C-F9C6507E3352}"/>
              </c:ext>
            </c:extLst>
          </c:dPt>
          <c:dPt>
            <c:idx val="24"/>
            <c:invertIfNegative val="0"/>
            <c:bubble3D val="0"/>
            <c:spPr>
              <a:solidFill>
                <a:schemeClr val="bg1">
                  <a:lumMod val="50000"/>
                </a:schemeClr>
              </a:solidFill>
              <a:ln>
                <a:noFill/>
              </a:ln>
              <a:effectLst/>
              <a:sp3d/>
            </c:spPr>
            <c:extLst>
              <c:ext xmlns:c16="http://schemas.microsoft.com/office/drawing/2014/chart" uri="{C3380CC4-5D6E-409C-BE32-E72D297353CC}">
                <c16:uniqueId val="{0000001A-7D9B-448F-B87C-F9C6507E3352}"/>
              </c:ext>
            </c:extLst>
          </c:dPt>
          <c:dPt>
            <c:idx val="25"/>
            <c:invertIfNegative val="0"/>
            <c:bubble3D val="0"/>
            <c:spPr>
              <a:solidFill>
                <a:schemeClr val="tx1">
                  <a:lumMod val="50000"/>
                  <a:lumOff val="50000"/>
                </a:schemeClr>
              </a:solidFill>
              <a:ln>
                <a:noFill/>
              </a:ln>
              <a:effectLst/>
              <a:sp3d/>
            </c:spPr>
            <c:extLst>
              <c:ext xmlns:c16="http://schemas.microsoft.com/office/drawing/2014/chart" uri="{C3380CC4-5D6E-409C-BE32-E72D297353CC}">
                <c16:uniqueId val="{0000001C-7D9B-448F-B87C-F9C6507E3352}"/>
              </c:ext>
            </c:extLst>
          </c:dPt>
          <c:dPt>
            <c:idx val="26"/>
            <c:invertIfNegative val="0"/>
            <c:bubble3D val="0"/>
            <c:spPr>
              <a:solidFill>
                <a:srgbClr val="E7E6E6">
                  <a:lumMod val="50000"/>
                </a:srgbClr>
              </a:solidFill>
              <a:ln>
                <a:noFill/>
              </a:ln>
              <a:effectLst/>
              <a:sp3d/>
            </c:spPr>
            <c:extLst>
              <c:ext xmlns:c16="http://schemas.microsoft.com/office/drawing/2014/chart" uri="{C3380CC4-5D6E-409C-BE32-E72D297353CC}">
                <c16:uniqueId val="{0000001E-7D9B-448F-B87C-F9C6507E3352}"/>
              </c:ext>
            </c:extLst>
          </c:dPt>
          <c:dPt>
            <c:idx val="27"/>
            <c:invertIfNegative val="0"/>
            <c:bubble3D val="0"/>
            <c:spPr>
              <a:solidFill>
                <a:srgbClr val="E7E6E6">
                  <a:lumMod val="50000"/>
                </a:srgbClr>
              </a:solidFill>
              <a:ln>
                <a:noFill/>
              </a:ln>
              <a:effectLst/>
              <a:sp3d/>
            </c:spPr>
            <c:extLst>
              <c:ext xmlns:c16="http://schemas.microsoft.com/office/drawing/2014/chart" uri="{C3380CC4-5D6E-409C-BE32-E72D297353CC}">
                <c16:uniqueId val="{00000020-7D9B-448F-B87C-F9C6507E3352}"/>
              </c:ext>
            </c:extLst>
          </c:dPt>
          <c:dPt>
            <c:idx val="28"/>
            <c:invertIfNegative val="0"/>
            <c:bubble3D val="0"/>
            <c:spPr>
              <a:solidFill>
                <a:srgbClr val="E7E6E6">
                  <a:lumMod val="50000"/>
                </a:srgbClr>
              </a:solidFill>
              <a:ln>
                <a:noFill/>
              </a:ln>
              <a:effectLst/>
              <a:sp3d/>
            </c:spPr>
            <c:extLst>
              <c:ext xmlns:c16="http://schemas.microsoft.com/office/drawing/2014/chart" uri="{C3380CC4-5D6E-409C-BE32-E72D297353CC}">
                <c16:uniqueId val="{00000022-7D9B-448F-B87C-F9C6507E3352}"/>
              </c:ext>
            </c:extLst>
          </c:dPt>
          <c:dLbls>
            <c:spPr>
              <a:noFill/>
              <a:ln>
                <a:noFill/>
              </a:ln>
              <a:effectLst/>
            </c:spPr>
            <c:txPr>
              <a:bodyPr rot="0" spcFirstLastPara="1" vertOverflow="ellipsis" vert="horz" wrap="square" anchor="ctr" anchorCtr="1"/>
              <a:lstStyle/>
              <a:p>
                <a:pPr>
                  <a:defRPr sz="1000" b="0" i="0" u="none" strike="noStrike" kern="1200" baseline="0">
                    <a:solidFill>
                      <a:schemeClr val="tx1">
                        <a:lumMod val="75000"/>
                        <a:lumOff val="25000"/>
                      </a:schemeClr>
                    </a:solidFill>
                    <a:latin typeface="Palatino Linotype" panose="02040502050505030304" pitchFamily="18" charset="0"/>
                    <a:ea typeface="+mn-ea"/>
                    <a:cs typeface="+mn-cs"/>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'Rep macro'!$L$2:$L$30</c:f>
              <c:strCache>
                <c:ptCount val="29"/>
                <c:pt idx="0">
                  <c:v>U Romagna Faentina</c:v>
                </c:pt>
                <c:pt idx="1">
                  <c:v>U Reno Galliera</c:v>
                </c:pt>
                <c:pt idx="2">
                  <c:v>UC Valle del Savio</c:v>
                </c:pt>
                <c:pt idx="3">
                  <c:v>U Valdera</c:v>
                </c:pt>
                <c:pt idx="4">
                  <c:v>FC Camposampierese</c:v>
                </c:pt>
                <c:pt idx="5">
                  <c:v>UC Garfagnana</c:v>
                </c:pt>
                <c:pt idx="6">
                  <c:v>UC Montani Appennino Pistoiese</c:v>
                </c:pt>
                <c:pt idx="7">
                  <c:v>UC Riviera del Brenta</c:v>
                </c:pt>
                <c:pt idx="8">
                  <c:v>UC Bassa Reggiana</c:v>
                </c:pt>
                <c:pt idx="9">
                  <c:v>UC Marca Occidentale</c:v>
                </c:pt>
                <c:pt idx="10">
                  <c:v>UC Valdichiana senese</c:v>
                </c:pt>
                <c:pt idx="11">
                  <c:v>UM Potenza Esino Musone</c:v>
                </c:pt>
                <c:pt idx="12">
                  <c:v>C Terre Roveresche</c:v>
                </c:pt>
                <c:pt idx="13">
                  <c:v>UC Circondario dell`Empolese Valdelsa</c:v>
                </c:pt>
                <c:pt idx="14">
                  <c:v>UC Valmarecchia</c:v>
                </c:pt>
                <c:pt idx="15">
                  <c:v>UC Taro e Ceno</c:v>
                </c:pt>
                <c:pt idx="16">
                  <c:v>U Fossanese</c:v>
                </c:pt>
                <c:pt idx="17">
                  <c:v>U Madonie</c:v>
                </c:pt>
                <c:pt idx="18">
                  <c:v>U Pian del Bruscolo</c:v>
                </c:pt>
                <c:pt idx="19">
                  <c:v>UT Intercomunale Collio-Alto Isonzo</c:v>
                </c:pt>
                <c:pt idx="20">
                  <c:v>UC Terre e Fiumi</c:v>
                </c:pt>
                <c:pt idx="21">
                  <c:v>UM Val Gallenca</c:v>
                </c:pt>
                <c:pt idx="22">
                  <c:v>U Val Vibrata</c:v>
                </c:pt>
                <c:pt idx="23">
                  <c:v>U Terre dell`Ufita</c:v>
                </c:pt>
                <c:pt idx="24">
                  <c:v>UM Valli Orco e Soana</c:v>
                </c:pt>
                <c:pt idx="25">
                  <c:v>Platani Quisquina Magazzolo</c:v>
                </c:pt>
                <c:pt idx="26">
                  <c:v>UC Caldogno, Costabissara, Isola Vicentina</c:v>
                </c:pt>
                <c:pt idx="27">
                  <c:v>U Valle del Torbido</c:v>
                </c:pt>
                <c:pt idx="28">
                  <c:v>Valle del Belice</c:v>
                </c:pt>
              </c:strCache>
            </c:strRef>
          </c:cat>
          <c:val>
            <c:numRef>
              <c:f>'Rep macro'!$M$2:$M$30</c:f>
              <c:numCache>
                <c:formatCode>General</c:formatCode>
                <c:ptCount val="29"/>
                <c:pt idx="0">
                  <c:v>90</c:v>
                </c:pt>
                <c:pt idx="1">
                  <c:v>80</c:v>
                </c:pt>
                <c:pt idx="2">
                  <c:v>80</c:v>
                </c:pt>
                <c:pt idx="3">
                  <c:v>80</c:v>
                </c:pt>
                <c:pt idx="4">
                  <c:v>70</c:v>
                </c:pt>
                <c:pt idx="5">
                  <c:v>52</c:v>
                </c:pt>
                <c:pt idx="6">
                  <c:v>40</c:v>
                </c:pt>
                <c:pt idx="7">
                  <c:v>40</c:v>
                </c:pt>
                <c:pt idx="8">
                  <c:v>32</c:v>
                </c:pt>
                <c:pt idx="9">
                  <c:v>30</c:v>
                </c:pt>
                <c:pt idx="10">
                  <c:v>30</c:v>
                </c:pt>
                <c:pt idx="11">
                  <c:v>30</c:v>
                </c:pt>
                <c:pt idx="12">
                  <c:v>20</c:v>
                </c:pt>
                <c:pt idx="13">
                  <c:v>20</c:v>
                </c:pt>
                <c:pt idx="14">
                  <c:v>20</c:v>
                </c:pt>
                <c:pt idx="15">
                  <c:v>20</c:v>
                </c:pt>
                <c:pt idx="16">
                  <c:v>20</c:v>
                </c:pt>
                <c:pt idx="17">
                  <c:v>20</c:v>
                </c:pt>
                <c:pt idx="18">
                  <c:v>20</c:v>
                </c:pt>
                <c:pt idx="19">
                  <c:v>20</c:v>
                </c:pt>
                <c:pt idx="20">
                  <c:v>10</c:v>
                </c:pt>
                <c:pt idx="21">
                  <c:v>10</c:v>
                </c:pt>
                <c:pt idx="22">
                  <c:v>10</c:v>
                </c:pt>
                <c:pt idx="23">
                  <c:v>4</c:v>
                </c:pt>
                <c:pt idx="24">
                  <c:v>2</c:v>
                </c:pt>
                <c:pt idx="25">
                  <c:v>0</c:v>
                </c:pt>
                <c:pt idx="26">
                  <c:v>0</c:v>
                </c:pt>
                <c:pt idx="27">
                  <c:v>0</c:v>
                </c:pt>
                <c:pt idx="28">
                  <c:v>0</c:v>
                </c:pt>
              </c:numCache>
            </c:numRef>
          </c:val>
          <c:extLst>
            <c:ext xmlns:c16="http://schemas.microsoft.com/office/drawing/2014/chart" uri="{C3380CC4-5D6E-409C-BE32-E72D297353CC}">
              <c16:uniqueId val="{00000023-7D9B-448F-B87C-F9C6507E3352}"/>
            </c:ext>
          </c:extLst>
        </c:ser>
        <c:dLbls>
          <c:showLegendKey val="0"/>
          <c:showVal val="1"/>
          <c:showCatName val="0"/>
          <c:showSerName val="0"/>
          <c:showPercent val="0"/>
          <c:showBubbleSize val="0"/>
        </c:dLbls>
        <c:gapWidth val="75"/>
        <c:shape val="box"/>
        <c:axId val="2099076736"/>
        <c:axId val="2099073824"/>
        <c:axId val="0"/>
      </c:bar3DChart>
      <c:catAx>
        <c:axId val="209907673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Palatino Linotype" panose="02040502050505030304" pitchFamily="18" charset="0"/>
                <a:ea typeface="+mn-ea"/>
                <a:cs typeface="+mn-cs"/>
              </a:defRPr>
            </a:pPr>
            <a:endParaRPr lang="it-IT"/>
          </a:p>
        </c:txPr>
        <c:crossAx val="2099073824"/>
        <c:crosses val="autoZero"/>
        <c:auto val="1"/>
        <c:lblAlgn val="ctr"/>
        <c:lblOffset val="100"/>
        <c:noMultiLvlLbl val="0"/>
      </c:catAx>
      <c:valAx>
        <c:axId val="2099073824"/>
        <c:scaling>
          <c:orientation val="minMax"/>
          <c:max val="100"/>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Palatino Linotype" panose="02040502050505030304" pitchFamily="18" charset="0"/>
                <a:ea typeface="+mn-ea"/>
                <a:cs typeface="+mn-cs"/>
              </a:defRPr>
            </a:pPr>
            <a:endParaRPr lang="it-IT"/>
          </a:p>
        </c:txPr>
        <c:crossAx val="209907673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latin typeface="Palatino Linotype" panose="02040502050505030304" pitchFamily="18" charset="0"/>
        </a:defRPr>
      </a:pPr>
      <a:endParaRPr lang="it-IT"/>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spPr>
            <a:ln w="28575" cap="rnd" cmpd="sng">
              <a:solidFill>
                <a:schemeClr val="accent5">
                  <a:lumMod val="75000"/>
                </a:schemeClr>
              </a:solidFill>
              <a:prstDash val="solid"/>
              <a:round/>
            </a:ln>
            <a:effectLst/>
          </c:spPr>
          <c:marker>
            <c:symbol val="circle"/>
            <c:size val="5"/>
            <c:spPr>
              <a:solidFill>
                <a:srgbClr val="FFFF00"/>
              </a:solidFill>
              <a:ln w="9525">
                <a:solidFill>
                  <a:schemeClr val="accent5">
                    <a:lumMod val="75000"/>
                  </a:schemeClr>
                </a:solidFill>
                <a:prstDash val="solid"/>
              </a:ln>
              <a:effectLst/>
            </c:spPr>
          </c:marker>
          <c:dLbls>
            <c:spPr>
              <a:noFill/>
              <a:ln>
                <a:noFill/>
              </a:ln>
              <a:effectLst/>
            </c:spPr>
            <c:txPr>
              <a:bodyPr rot="0" spcFirstLastPara="1" vertOverflow="ellipsis" vert="horz" wrap="square" anchor="ctr" anchorCtr="1"/>
              <a:lstStyle/>
              <a:p>
                <a:pPr>
                  <a:defRPr sz="1000" b="0" i="0" u="none" strike="noStrike" kern="1200" baseline="0">
                    <a:solidFill>
                      <a:schemeClr val="tx1">
                        <a:lumMod val="75000"/>
                        <a:lumOff val="25000"/>
                      </a:schemeClr>
                    </a:solidFill>
                    <a:latin typeface="Palatino Linotype" panose="02040502050505030304" pitchFamily="18" charset="0"/>
                    <a:ea typeface="+mn-ea"/>
                    <a:cs typeface="+mn-cs"/>
                  </a:defRPr>
                </a:pPr>
                <a:endParaRPr lang="it-IT"/>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'[Tabellone 29 Unioni rev RC.xlsx]M4'!$J$3:$J$25</c:f>
              <c:strCache>
                <c:ptCount val="23"/>
                <c:pt idx="0">
                  <c:v>UC Taro e Ceno</c:v>
                </c:pt>
                <c:pt idx="1">
                  <c:v>U Reno Galliera</c:v>
                </c:pt>
                <c:pt idx="2">
                  <c:v>U Romagna Faentina</c:v>
                </c:pt>
                <c:pt idx="3">
                  <c:v>C Terre Roveresche</c:v>
                </c:pt>
                <c:pt idx="4">
                  <c:v>U Valdera</c:v>
                </c:pt>
                <c:pt idx="5">
                  <c:v>UC Garfagnana</c:v>
                </c:pt>
                <c:pt idx="6">
                  <c:v>UC Marca Occidentale</c:v>
                </c:pt>
                <c:pt idx="7">
                  <c:v>UC Riviera del Brenta</c:v>
                </c:pt>
                <c:pt idx="8">
                  <c:v>UC Valdichiana senese</c:v>
                </c:pt>
                <c:pt idx="9">
                  <c:v>FC Camposampierese</c:v>
                </c:pt>
                <c:pt idx="10">
                  <c:v>UC Montani Appennino Pistoiese</c:v>
                </c:pt>
                <c:pt idx="11">
                  <c:v>U Fossanese</c:v>
                </c:pt>
                <c:pt idx="12">
                  <c:v>UC Terre e Fiumi</c:v>
                </c:pt>
                <c:pt idx="13">
                  <c:v>UC Valmarecchia</c:v>
                </c:pt>
                <c:pt idx="14">
                  <c:v>UC Bassa Reggiana</c:v>
                </c:pt>
                <c:pt idx="15">
                  <c:v>U Val Vibrata</c:v>
                </c:pt>
                <c:pt idx="16">
                  <c:v>UM Potenza Esino Musone</c:v>
                </c:pt>
                <c:pt idx="17">
                  <c:v>U Pian del Bruscolo</c:v>
                </c:pt>
                <c:pt idx="18">
                  <c:v>UM Val Gallenca</c:v>
                </c:pt>
                <c:pt idx="19">
                  <c:v>UC Valle del Savio</c:v>
                </c:pt>
                <c:pt idx="20">
                  <c:v>UC Circondario dell`Empolese Valdelsa</c:v>
                </c:pt>
                <c:pt idx="21">
                  <c:v>UM Valli Orco e Soana</c:v>
                </c:pt>
                <c:pt idx="22">
                  <c:v>U Terre dell`Ufita</c:v>
                </c:pt>
              </c:strCache>
            </c:strRef>
          </c:cat>
          <c:val>
            <c:numRef>
              <c:f>'[Tabellone 29 Unioni rev RC.xlsx]M4'!$K$3:$K$25</c:f>
              <c:numCache>
                <c:formatCode>0</c:formatCode>
                <c:ptCount val="23"/>
                <c:pt idx="0">
                  <c:v>14.3</c:v>
                </c:pt>
                <c:pt idx="1">
                  <c:v>11.7</c:v>
                </c:pt>
                <c:pt idx="2">
                  <c:v>11.7</c:v>
                </c:pt>
                <c:pt idx="3">
                  <c:v>10.4</c:v>
                </c:pt>
                <c:pt idx="4">
                  <c:v>9.1</c:v>
                </c:pt>
                <c:pt idx="5">
                  <c:v>9.1</c:v>
                </c:pt>
                <c:pt idx="6">
                  <c:v>7.8</c:v>
                </c:pt>
                <c:pt idx="7">
                  <c:v>5.2</c:v>
                </c:pt>
                <c:pt idx="8">
                  <c:v>5.2</c:v>
                </c:pt>
                <c:pt idx="9">
                  <c:v>5.2</c:v>
                </c:pt>
                <c:pt idx="10">
                  <c:v>3.9</c:v>
                </c:pt>
                <c:pt idx="11">
                  <c:v>3.9</c:v>
                </c:pt>
                <c:pt idx="12">
                  <c:v>3.9</c:v>
                </c:pt>
                <c:pt idx="13">
                  <c:v>3.9</c:v>
                </c:pt>
                <c:pt idx="14">
                  <c:v>3.9</c:v>
                </c:pt>
                <c:pt idx="15">
                  <c:v>3</c:v>
                </c:pt>
                <c:pt idx="16">
                  <c:v>3</c:v>
                </c:pt>
                <c:pt idx="17">
                  <c:v>2.6</c:v>
                </c:pt>
                <c:pt idx="18">
                  <c:v>2.6</c:v>
                </c:pt>
                <c:pt idx="19">
                  <c:v>2.6</c:v>
                </c:pt>
                <c:pt idx="20">
                  <c:v>2.6</c:v>
                </c:pt>
                <c:pt idx="21">
                  <c:v>1.3</c:v>
                </c:pt>
                <c:pt idx="22">
                  <c:v>1</c:v>
                </c:pt>
              </c:numCache>
            </c:numRef>
          </c:val>
          <c:smooth val="0"/>
          <c:extLst>
            <c:ext xmlns:c16="http://schemas.microsoft.com/office/drawing/2014/chart" uri="{C3380CC4-5D6E-409C-BE32-E72D297353CC}">
              <c16:uniqueId val="{00000000-E676-4F76-9974-F3D8C358BD57}"/>
            </c:ext>
          </c:extLst>
        </c:ser>
        <c:dLbls>
          <c:showLegendKey val="0"/>
          <c:showVal val="1"/>
          <c:showCatName val="0"/>
          <c:showSerName val="0"/>
          <c:showPercent val="0"/>
          <c:showBubbleSize val="0"/>
        </c:dLbls>
        <c:marker val="1"/>
        <c:smooth val="0"/>
        <c:axId val="79982160"/>
        <c:axId val="79971344"/>
      </c:lineChart>
      <c:catAx>
        <c:axId val="799821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Palatino Linotype" panose="02040502050505030304" pitchFamily="18" charset="0"/>
                <a:ea typeface="+mn-ea"/>
                <a:cs typeface="+mn-cs"/>
              </a:defRPr>
            </a:pPr>
            <a:endParaRPr lang="it-IT"/>
          </a:p>
        </c:txPr>
        <c:crossAx val="79971344"/>
        <c:crosses val="autoZero"/>
        <c:auto val="1"/>
        <c:lblAlgn val="ctr"/>
        <c:lblOffset val="100"/>
        <c:noMultiLvlLbl val="0"/>
      </c:catAx>
      <c:valAx>
        <c:axId val="79971344"/>
        <c:scaling>
          <c:orientation val="minMax"/>
        </c:scaling>
        <c:delete val="1"/>
        <c:axPos val="l"/>
        <c:numFmt formatCode="0" sourceLinked="1"/>
        <c:majorTickMark val="none"/>
        <c:minorTickMark val="none"/>
        <c:tickLblPos val="nextTo"/>
        <c:crossAx val="79982160"/>
        <c:crosses val="autoZero"/>
        <c:crossBetween val="between"/>
      </c:valAx>
      <c:spPr>
        <a:noFill/>
        <a:ln>
          <a:noFill/>
        </a:ln>
        <a:effectLst/>
      </c:spPr>
    </c:plotArea>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000">
          <a:latin typeface="Palatino Linotype" panose="02040502050505030304" pitchFamily="18" charset="0"/>
        </a:defRPr>
      </a:pPr>
      <a:endParaRPr lang="it-IT"/>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spPr>
            <a:ln w="28575" cap="rnd" cmpd="sng">
              <a:solidFill>
                <a:srgbClr val="66B2CA">
                  <a:lumMod val="75000"/>
                </a:srgbClr>
              </a:solidFill>
              <a:round/>
            </a:ln>
            <a:effectLst/>
          </c:spPr>
          <c:marker>
            <c:symbol val="circle"/>
            <c:size val="5"/>
            <c:spPr>
              <a:solidFill>
                <a:srgbClr val="FFFF00"/>
              </a:solidFill>
              <a:ln w="28575">
                <a:solidFill>
                  <a:srgbClr val="66B2CA">
                    <a:lumMod val="75000"/>
                  </a:srgbClr>
                </a:solidFill>
              </a:ln>
              <a:effectLst/>
            </c:spPr>
          </c:marker>
          <c:cat>
            <c:strRef>
              <c:f>'[Tabellone 29 Unioni.xlsx]M4'!$N$3:$N$13</c:f>
              <c:strCache>
                <c:ptCount val="11"/>
                <c:pt idx="0">
                  <c:v>U Romagna Faentina</c:v>
                </c:pt>
                <c:pt idx="1">
                  <c:v>U Valdera</c:v>
                </c:pt>
                <c:pt idx="2">
                  <c:v>U Madonie</c:v>
                </c:pt>
                <c:pt idx="3">
                  <c:v>UC Valle del Savio</c:v>
                </c:pt>
                <c:pt idx="4">
                  <c:v>UC Circondario dell`Empolese Valdelsa</c:v>
                </c:pt>
                <c:pt idx="5">
                  <c:v>U Reno Galliera</c:v>
                </c:pt>
                <c:pt idx="6">
                  <c:v>U Pian del Bruscolo</c:v>
                </c:pt>
                <c:pt idx="7">
                  <c:v>FC Camposampierese</c:v>
                </c:pt>
                <c:pt idx="8">
                  <c:v>U Terre dell`Ufita</c:v>
                </c:pt>
                <c:pt idx="9">
                  <c:v>UC Bassa Reggiana</c:v>
                </c:pt>
                <c:pt idx="10">
                  <c:v>UC Garfagnana</c:v>
                </c:pt>
              </c:strCache>
            </c:strRef>
          </c:cat>
          <c:val>
            <c:numRef>
              <c:f>'[Tabellone 29 Unioni.xlsx]M4'!$O$3:$O$13</c:f>
              <c:numCache>
                <c:formatCode>0</c:formatCode>
                <c:ptCount val="11"/>
                <c:pt idx="0">
                  <c:v>8.4</c:v>
                </c:pt>
                <c:pt idx="1">
                  <c:v>4.8</c:v>
                </c:pt>
                <c:pt idx="2">
                  <c:v>3.6</c:v>
                </c:pt>
                <c:pt idx="3">
                  <c:v>3.6</c:v>
                </c:pt>
                <c:pt idx="4">
                  <c:v>3</c:v>
                </c:pt>
                <c:pt idx="5">
                  <c:v>2</c:v>
                </c:pt>
                <c:pt idx="6">
                  <c:v>1.2</c:v>
                </c:pt>
                <c:pt idx="7">
                  <c:v>1.2</c:v>
                </c:pt>
                <c:pt idx="8">
                  <c:v>1</c:v>
                </c:pt>
                <c:pt idx="9">
                  <c:v>1</c:v>
                </c:pt>
                <c:pt idx="10">
                  <c:v>1</c:v>
                </c:pt>
              </c:numCache>
            </c:numRef>
          </c:val>
          <c:smooth val="0"/>
          <c:extLst>
            <c:ext xmlns:c16="http://schemas.microsoft.com/office/drawing/2014/chart" uri="{C3380CC4-5D6E-409C-BE32-E72D297353CC}">
              <c16:uniqueId val="{00000000-CDCC-4AF1-B558-6B84945581B5}"/>
            </c:ext>
          </c:extLst>
        </c:ser>
        <c:dLbls>
          <c:showLegendKey val="0"/>
          <c:showVal val="0"/>
          <c:showCatName val="0"/>
          <c:showSerName val="0"/>
          <c:showPercent val="0"/>
          <c:showBubbleSize val="0"/>
        </c:dLbls>
        <c:marker val="1"/>
        <c:smooth val="0"/>
        <c:axId val="1977048208"/>
        <c:axId val="1977048624"/>
      </c:lineChart>
      <c:catAx>
        <c:axId val="19770482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Palatino Linotype" panose="02040502050505030304" pitchFamily="18" charset="0"/>
                <a:ea typeface="+mn-ea"/>
                <a:cs typeface="+mn-cs"/>
              </a:defRPr>
            </a:pPr>
            <a:endParaRPr lang="it-IT"/>
          </a:p>
        </c:txPr>
        <c:crossAx val="1977048624"/>
        <c:crosses val="autoZero"/>
        <c:auto val="1"/>
        <c:lblAlgn val="ctr"/>
        <c:lblOffset val="100"/>
        <c:noMultiLvlLbl val="0"/>
      </c:catAx>
      <c:valAx>
        <c:axId val="1977048624"/>
        <c:scaling>
          <c:orientation val="minMax"/>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Palatino Linotype" panose="02040502050505030304" pitchFamily="18" charset="0"/>
                <a:ea typeface="+mn-ea"/>
                <a:cs typeface="+mn-cs"/>
              </a:defRPr>
            </a:pPr>
            <a:endParaRPr lang="it-IT"/>
          </a:p>
        </c:txPr>
        <c:crossAx val="1977048208"/>
        <c:crosses val="autoZero"/>
        <c:crossBetween val="between"/>
      </c:valAx>
      <c:spPr>
        <a:noFill/>
        <a:ln>
          <a:noFill/>
        </a:ln>
        <a:effectLst/>
      </c:spPr>
    </c:plotArea>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050">
          <a:latin typeface="Palatino Linotype" panose="02040502050505030304" pitchFamily="18" charset="0"/>
        </a:defRPr>
      </a:pPr>
      <a:endParaRPr lang="it-IT"/>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12</Pages>
  <Words>1554</Words>
  <Characters>8858</Characters>
  <Application>Microsoft Office Word</Application>
  <DocSecurity>0</DocSecurity>
  <Lines>73</Lines>
  <Paragraphs>20</Paragraphs>
  <ScaleCrop>false</ScaleCrop>
  <Company/>
  <LinksUpToDate>false</LinksUpToDate>
  <CharactersWithSpaces>10392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Caporossi</dc:creator>
  <cp:keywords/>
  <dc:description/>
  <cp:lastModifiedBy>Paola Caporossi</cp:lastModifiedBy>
  <cp:revision>2</cp:revision>
  <dcterms:created xsi:type="dcterms:W3CDTF">2022-05-15T12:48:00Z</dcterms:created>
  <dcterms:modified xsi:type="dcterms:W3CDTF">2022-05-15T12:55:00Z</dcterms:modified>
</cp:coreProperties>
</file>