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3414" w14:textId="77777777" w:rsidR="00194D84" w:rsidRPr="00194D84" w:rsidRDefault="00194D84" w:rsidP="00390FB6">
      <w:pPr>
        <w:keepNext/>
        <w:spacing w:after="240" w:line="240" w:lineRule="auto"/>
        <w:ind w:left="720"/>
        <w:jc w:val="both"/>
        <w:outlineLvl w:val="1"/>
        <w:rPr>
          <w:rFonts w:ascii="Avenir Next LT Pro" w:eastAsia="MS Gothic" w:hAnsi="Avenir Next LT Pro" w:cs="Times New Roman"/>
          <w:b/>
          <w:color w:val="2B7EB7"/>
          <w:sz w:val="23"/>
          <w:szCs w:val="26"/>
        </w:rPr>
      </w:pPr>
      <w:bookmarkStart w:id="0" w:name="_Toc93168801"/>
      <w:r w:rsidRPr="00194D84">
        <w:rPr>
          <w:rFonts w:ascii="Avenir Next LT Pro" w:eastAsia="MS Gothic" w:hAnsi="Avenir Next LT Pro" w:cs="Times New Roman"/>
          <w:b/>
          <w:color w:val="2B7EB7"/>
          <w:sz w:val="23"/>
          <w:szCs w:val="26"/>
        </w:rPr>
        <w:t>Bilancio</w:t>
      </w:r>
      <w:bookmarkEnd w:id="0"/>
    </w:p>
    <w:p w14:paraId="64D4E5DD"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L’area Bilancio analizza sette</w:t>
      </w:r>
      <w:r w:rsidRPr="00194D84">
        <w:rPr>
          <w:rFonts w:ascii="Avenir Next LT Pro" w:eastAsia="MS Mincho" w:hAnsi="Avenir Next LT Pro" w:cs="Times New Roman"/>
          <w:sz w:val="23"/>
          <w:vertAlign w:val="superscript"/>
        </w:rPr>
        <w:footnoteReference w:id="1"/>
      </w:r>
      <w:r w:rsidRPr="00194D84">
        <w:rPr>
          <w:rFonts w:ascii="Avenir Next LT Pro" w:eastAsia="MS Mincho" w:hAnsi="Avenir Next LT Pro" w:cs="Times New Roman"/>
          <w:sz w:val="23"/>
        </w:rPr>
        <w:t xml:space="preserve"> indicatori economico-finanziari, ricavati dai dati di bilancio</w:t>
      </w:r>
      <w:r w:rsidRPr="00194D84">
        <w:rPr>
          <w:rFonts w:ascii="Avenir Next LT Pro" w:eastAsia="MS Mincho" w:hAnsi="Avenir Next LT Pro" w:cs="Times New Roman"/>
          <w:sz w:val="23"/>
          <w:vertAlign w:val="superscript"/>
        </w:rPr>
        <w:footnoteReference w:id="2"/>
      </w:r>
      <w:r w:rsidRPr="00194D84">
        <w:rPr>
          <w:rFonts w:ascii="Avenir Next LT Pro" w:eastAsia="MS Mincho" w:hAnsi="Avenir Next LT Pro" w:cs="Times New Roman"/>
          <w:sz w:val="23"/>
        </w:rPr>
        <w:t xml:space="preserve"> reperibili sul portale BDAP del MEF. Ciò vale per tutto il campione eccetto che per quattro Unioni: le due siciliane Madonie e Valle del Belice, la calabrese Valle de Torbido e la friulana Collio-Alto Isonzo</w:t>
      </w:r>
      <w:r w:rsidRPr="00194D84">
        <w:rPr>
          <w:rFonts w:ascii="Avenir Next LT Pro" w:eastAsia="MS Mincho" w:hAnsi="Avenir Next LT Pro" w:cs="Times New Roman"/>
          <w:sz w:val="23"/>
          <w:vertAlign w:val="superscript"/>
        </w:rPr>
        <w:footnoteReference w:id="3"/>
      </w:r>
      <w:r w:rsidRPr="00194D84">
        <w:rPr>
          <w:rFonts w:ascii="Avenir Next LT Pro" w:eastAsia="MS Mincho" w:hAnsi="Avenir Next LT Pro" w:cs="Times New Roman"/>
          <w:sz w:val="23"/>
        </w:rPr>
        <w:t>.</w:t>
      </w:r>
    </w:p>
    <w:p w14:paraId="56834033"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Il valore medio del campione nell’area è sotto la sufficienza (46%), ma sale a 53% se si escludono dal calcolo le suddette quattro Unioni senza pubblicazione del consuntivo economico-finanziario. </w:t>
      </w:r>
    </w:p>
    <w:p w14:paraId="0442DA78"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Sono quattordici su ventinove le Unioni con score di Bilancio tra </w:t>
      </w:r>
      <w:proofErr w:type="spellStart"/>
      <w:r w:rsidRPr="00194D84">
        <w:rPr>
          <w:rFonts w:ascii="Avenir Next LT Pro" w:eastAsia="MS Mincho" w:hAnsi="Avenir Next LT Pro" w:cs="Times New Roman"/>
          <w:i/>
          <w:sz w:val="23"/>
        </w:rPr>
        <w:t>Satisfactory</w:t>
      </w:r>
      <w:proofErr w:type="spellEnd"/>
      <w:r w:rsidRPr="00194D84">
        <w:rPr>
          <w:rFonts w:ascii="Avenir Next LT Pro" w:eastAsia="MS Mincho" w:hAnsi="Avenir Next LT Pro" w:cs="Times New Roman"/>
          <w:sz w:val="23"/>
        </w:rPr>
        <w:t xml:space="preserve"> ed </w:t>
      </w:r>
      <w:proofErr w:type="spellStart"/>
      <w:r w:rsidRPr="00194D84">
        <w:rPr>
          <w:rFonts w:ascii="Avenir Next LT Pro" w:eastAsia="MS Mincho" w:hAnsi="Avenir Next LT Pro" w:cs="Times New Roman"/>
          <w:i/>
          <w:sz w:val="23"/>
        </w:rPr>
        <w:t>Excellent</w:t>
      </w:r>
      <w:proofErr w:type="spellEnd"/>
      <w:r w:rsidRPr="00194D84">
        <w:rPr>
          <w:rFonts w:ascii="Avenir Next LT Pro" w:eastAsia="MS Mincho" w:hAnsi="Avenir Next LT Pro" w:cs="Times New Roman"/>
          <w:sz w:val="23"/>
        </w:rPr>
        <w:t xml:space="preserve">, passando per </w:t>
      </w:r>
      <w:r w:rsidRPr="00194D84">
        <w:rPr>
          <w:rFonts w:ascii="Avenir Next LT Pro" w:eastAsia="MS Mincho" w:hAnsi="Avenir Next LT Pro" w:cs="Times New Roman"/>
          <w:i/>
          <w:sz w:val="23"/>
        </w:rPr>
        <w:t>Good</w:t>
      </w:r>
      <w:r w:rsidRPr="00194D84">
        <w:rPr>
          <w:rFonts w:ascii="Avenir Next LT Pro" w:eastAsia="MS Mincho" w:hAnsi="Avenir Next LT Pro" w:cs="Times New Roman"/>
          <w:sz w:val="23"/>
        </w:rPr>
        <w:t>.</w:t>
      </w:r>
    </w:p>
    <w:p w14:paraId="13C3DD53"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L’Unione </w:t>
      </w:r>
      <w:r w:rsidRPr="00194D84">
        <w:rPr>
          <w:rFonts w:ascii="Avenir Next LT Pro" w:eastAsia="MS Mincho" w:hAnsi="Avenir Next LT Pro" w:cs="Times New Roman"/>
          <w:i/>
          <w:sz w:val="23"/>
        </w:rPr>
        <w:t>benchmark</w:t>
      </w:r>
      <w:r w:rsidRPr="00194D84">
        <w:rPr>
          <w:rFonts w:ascii="Avenir Next LT Pro" w:eastAsia="MS Mincho" w:hAnsi="Avenir Next LT Pro" w:cs="Times New Roman"/>
          <w:sz w:val="23"/>
        </w:rPr>
        <w:t xml:space="preserve"> ottiene uno score nella classe migliore - </w:t>
      </w:r>
      <w:proofErr w:type="spellStart"/>
      <w:r w:rsidRPr="00194D84">
        <w:rPr>
          <w:rFonts w:ascii="Avenir Next LT Pro" w:eastAsia="MS Mincho" w:hAnsi="Avenir Next LT Pro" w:cs="Times New Roman"/>
          <w:i/>
          <w:sz w:val="23"/>
        </w:rPr>
        <w:t>Excellent</w:t>
      </w:r>
      <w:proofErr w:type="spellEnd"/>
      <w:r w:rsidRPr="00194D84">
        <w:rPr>
          <w:rFonts w:ascii="Avenir Next LT Pro" w:eastAsia="MS Mincho" w:hAnsi="Avenir Next LT Pro" w:cs="Times New Roman"/>
          <w:sz w:val="23"/>
        </w:rPr>
        <w:t xml:space="preserve"> (da 90 a 100) - e riguarda la piemontese Valli Orco e Soana, che, invece, come indice complessivo di capacità amministrativa si ferma a 40%, in classe </w:t>
      </w:r>
      <w:proofErr w:type="spellStart"/>
      <w:r w:rsidRPr="00194D84">
        <w:rPr>
          <w:rFonts w:ascii="Avenir Next LT Pro" w:eastAsia="MS Mincho" w:hAnsi="Avenir Next LT Pro" w:cs="Times New Roman"/>
          <w:i/>
          <w:sz w:val="23"/>
        </w:rPr>
        <w:t>Weak</w:t>
      </w:r>
      <w:proofErr w:type="spellEnd"/>
      <w:r w:rsidRPr="00194D84">
        <w:rPr>
          <w:rFonts w:ascii="Avenir Next LT Pro" w:eastAsia="MS Mincho" w:hAnsi="Avenir Next LT Pro" w:cs="Times New Roman"/>
          <w:sz w:val="23"/>
        </w:rPr>
        <w:t>. Il buon risultato nell’area Bilancio si deve al massimo dello score che ha realizzato in tutti gli indicatori ad eccezione del debito pro-capite, dove si assicura, comunque, un punteggio medio.</w:t>
      </w:r>
    </w:p>
    <w:p w14:paraId="5C0E87AD" w14:textId="77777777" w:rsidR="00194D84" w:rsidRPr="00194D84" w:rsidRDefault="00194D84" w:rsidP="00194D84">
      <w:pPr>
        <w:spacing w:after="60" w:line="312" w:lineRule="auto"/>
        <w:jc w:val="both"/>
        <w:rPr>
          <w:rFonts w:ascii="Avenir Next LT Pro" w:eastAsia="MS Mincho" w:hAnsi="Avenir Next LT Pro" w:cs="Times New Roman"/>
          <w:sz w:val="23"/>
        </w:rPr>
      </w:pPr>
    </w:p>
    <w:p w14:paraId="3477DF79" w14:textId="77777777" w:rsidR="00194D84" w:rsidRPr="00194D84" w:rsidRDefault="00194D84" w:rsidP="00194D84">
      <w:pPr>
        <w:spacing w:after="60" w:line="312" w:lineRule="auto"/>
        <w:jc w:val="both"/>
        <w:rPr>
          <w:rFonts w:ascii="Avenir Next LT Pro" w:eastAsia="MS Mincho" w:hAnsi="Avenir Next LT Pro" w:cs="Times New Roman"/>
          <w:sz w:val="23"/>
        </w:rPr>
      </w:pPr>
    </w:p>
    <w:p w14:paraId="75C506CF" w14:textId="77777777" w:rsidR="00194D84" w:rsidRPr="00194D84" w:rsidRDefault="00194D84" w:rsidP="00194D84">
      <w:pPr>
        <w:keepNext/>
        <w:spacing w:after="200" w:line="312" w:lineRule="auto"/>
        <w:jc w:val="both"/>
        <w:rPr>
          <w:rFonts w:ascii="Avenir Next LT Pro" w:eastAsia="MS Mincho" w:hAnsi="Avenir Next LT Pro" w:cs="Times New Roman"/>
          <w:sz w:val="20"/>
          <w:szCs w:val="20"/>
        </w:rPr>
      </w:pPr>
      <w:r w:rsidRPr="00194D84">
        <w:rPr>
          <w:rFonts w:ascii="Avenir Next LT Pro" w:eastAsia="MS Mincho" w:hAnsi="Avenir Next LT Pro" w:cs="Times New Roman"/>
          <w:noProof/>
          <w:sz w:val="23"/>
        </w:rPr>
        <w:lastRenderedPageBreak/>
        <mc:AlternateContent>
          <mc:Choice Requires="wps">
            <w:drawing>
              <wp:anchor distT="0" distB="0" distL="114300" distR="114300" simplePos="0" relativeHeight="251660288" behindDoc="0" locked="0" layoutInCell="1" allowOverlap="1" wp14:anchorId="49EDC6D1" wp14:editId="41F120CF">
                <wp:simplePos x="0" y="0"/>
                <wp:positionH relativeFrom="margin">
                  <wp:align>left</wp:align>
                </wp:positionH>
                <wp:positionV relativeFrom="paragraph">
                  <wp:posOffset>3175</wp:posOffset>
                </wp:positionV>
                <wp:extent cx="6964257" cy="457200"/>
                <wp:effectExtent l="0" t="0" r="8255" b="0"/>
                <wp:wrapTopAndBottom/>
                <wp:docPr id="29" name="Text Box 29"/>
                <wp:cNvGraphicFramePr/>
                <a:graphic xmlns:a="http://schemas.openxmlformats.org/drawingml/2006/main">
                  <a:graphicData uri="http://schemas.microsoft.com/office/word/2010/wordprocessingShape">
                    <wps:wsp>
                      <wps:cNvSpPr txBox="1"/>
                      <wps:spPr>
                        <a:xfrm>
                          <a:off x="0" y="0"/>
                          <a:ext cx="6964257" cy="457200"/>
                        </a:xfrm>
                        <a:prstGeom prst="rect">
                          <a:avLst/>
                        </a:prstGeom>
                        <a:solidFill>
                          <a:prstClr val="white"/>
                        </a:solidFill>
                        <a:ln>
                          <a:noFill/>
                        </a:ln>
                      </wps:spPr>
                      <wps:txbx>
                        <w:txbxContent>
                          <w:p w14:paraId="50AFABF5" w14:textId="77777777" w:rsidR="00194D84" w:rsidRPr="00506556" w:rsidRDefault="00194D84" w:rsidP="00194D84">
                            <w:pPr>
                              <w:pStyle w:val="Didascalia1"/>
                              <w:rPr>
                                <w:noProof/>
                                <w:sz w:val="23"/>
                                <w:szCs w:val="23"/>
                              </w:rPr>
                            </w:pPr>
                            <w:bookmarkStart w:id="1" w:name="_Toc93171059"/>
                            <w:r w:rsidRPr="00506556">
                              <w:rPr>
                                <w:sz w:val="23"/>
                                <w:szCs w:val="23"/>
                              </w:rPr>
                              <w:t xml:space="preserve">Figura </w:t>
                            </w:r>
                            <w:r w:rsidRPr="00506556">
                              <w:rPr>
                                <w:sz w:val="23"/>
                                <w:szCs w:val="23"/>
                              </w:rPr>
                              <w:fldChar w:fldCharType="begin"/>
                            </w:r>
                            <w:r w:rsidRPr="00506556">
                              <w:rPr>
                                <w:sz w:val="23"/>
                                <w:szCs w:val="23"/>
                              </w:rPr>
                              <w:instrText xml:space="preserve"> SEQ Figura \* ARABIC </w:instrText>
                            </w:r>
                            <w:r w:rsidRPr="00506556">
                              <w:rPr>
                                <w:sz w:val="23"/>
                                <w:szCs w:val="23"/>
                              </w:rPr>
                              <w:fldChar w:fldCharType="separate"/>
                            </w:r>
                            <w:r>
                              <w:rPr>
                                <w:noProof/>
                                <w:sz w:val="23"/>
                                <w:szCs w:val="23"/>
                              </w:rPr>
                              <w:t>5</w:t>
                            </w:r>
                            <w:r w:rsidRPr="00506556">
                              <w:rPr>
                                <w:sz w:val="23"/>
                                <w:szCs w:val="23"/>
                              </w:rPr>
                              <w:fldChar w:fldCharType="end"/>
                            </w:r>
                            <w:r w:rsidRPr="00506556">
                              <w:rPr>
                                <w:sz w:val="23"/>
                                <w:szCs w:val="23"/>
                              </w:rPr>
                              <w:t xml:space="preserve"> INDICE DI CAPACITÀ AMMINISTRATIVA – AREA BILANCIO (score medio: 46%)</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EDC6D1" id="_x0000_t202" coordsize="21600,21600" o:spt="202" path="m,l,21600r21600,l21600,xe">
                <v:stroke joinstyle="miter"/>
                <v:path gradientshapeok="t" o:connecttype="rect"/>
              </v:shapetype>
              <v:shape id="Text Box 29" o:spid="_x0000_s1026" type="#_x0000_t202" style="position:absolute;left:0;text-align:left;margin-left:0;margin-top:.25pt;width:548.35pt;height:36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" stroked="f">
                <v:textbox inset="0,0,0,0">
                  <w:txbxContent>
                    <w:p w14:paraId="50AFABF5" w14:textId="77777777" w:rsidR="00194D84" w:rsidRPr="00506556" w:rsidRDefault="00194D84" w:rsidP="00194D84">
                      <w:pPr>
                        <w:pStyle w:val="Didascalia1"/>
                        <w:rPr>
                          <w:noProof/>
                          <w:sz w:val="23"/>
                          <w:szCs w:val="23"/>
                        </w:rPr>
                      </w:pPr>
                      <w:bookmarkStart w:id="2" w:name="_Toc93171059"/>
                      <w:r w:rsidRPr="00506556">
                        <w:rPr>
                          <w:sz w:val="23"/>
                          <w:szCs w:val="23"/>
                        </w:rPr>
                        <w:t xml:space="preserve">Figura </w:t>
                      </w:r>
                      <w:r w:rsidRPr="00506556">
                        <w:rPr>
                          <w:sz w:val="23"/>
                          <w:szCs w:val="23"/>
                        </w:rPr>
                        <w:fldChar w:fldCharType="begin"/>
                      </w:r>
                      <w:r w:rsidRPr="00506556">
                        <w:rPr>
                          <w:sz w:val="23"/>
                          <w:szCs w:val="23"/>
                        </w:rPr>
                        <w:instrText xml:space="preserve"> SEQ Figura \* ARABIC </w:instrText>
                      </w:r>
                      <w:r w:rsidRPr="00506556">
                        <w:rPr>
                          <w:sz w:val="23"/>
                          <w:szCs w:val="23"/>
                        </w:rPr>
                        <w:fldChar w:fldCharType="separate"/>
                      </w:r>
                      <w:r>
                        <w:rPr>
                          <w:noProof/>
                          <w:sz w:val="23"/>
                          <w:szCs w:val="23"/>
                        </w:rPr>
                        <w:t>5</w:t>
                      </w:r>
                      <w:r w:rsidRPr="00506556">
                        <w:rPr>
                          <w:sz w:val="23"/>
                          <w:szCs w:val="23"/>
                        </w:rPr>
                        <w:fldChar w:fldCharType="end"/>
                      </w:r>
                      <w:r w:rsidRPr="00506556">
                        <w:rPr>
                          <w:sz w:val="23"/>
                          <w:szCs w:val="23"/>
                        </w:rPr>
                        <w:t xml:space="preserve"> INDICE DI CAPACITÀ AMMINISTRATIVA – AREA BILANCIO (score medio: 46%)</w:t>
                      </w:r>
                      <w:bookmarkEnd w:id="2"/>
                    </w:p>
                  </w:txbxContent>
                </v:textbox>
                <w10:wrap type="topAndBottom" anchorx="margin"/>
              </v:shape>
            </w:pict>
          </mc:Fallback>
        </mc:AlternateContent>
      </w:r>
      <w:r w:rsidRPr="00194D84">
        <w:rPr>
          <w:rFonts w:ascii="Avenir Next LT Pro" w:eastAsia="MS Mincho" w:hAnsi="Avenir Next LT Pro" w:cs="Times New Roman"/>
          <w:noProof/>
          <w:sz w:val="23"/>
        </w:rPr>
        <w:drawing>
          <wp:anchor distT="0" distB="0" distL="114300" distR="114300" simplePos="0" relativeHeight="251659264" behindDoc="0" locked="0" layoutInCell="1" allowOverlap="1" wp14:anchorId="5A8479B8" wp14:editId="273E5D7D">
            <wp:simplePos x="0" y="0"/>
            <wp:positionH relativeFrom="column">
              <wp:posOffset>-594360</wp:posOffset>
            </wp:positionH>
            <wp:positionV relativeFrom="paragraph">
              <wp:posOffset>394970</wp:posOffset>
            </wp:positionV>
            <wp:extent cx="7819390" cy="4389120"/>
            <wp:effectExtent l="0" t="0" r="0" b="0"/>
            <wp:wrapTopAndBottom/>
            <wp:docPr id="30" name="Grafico 30">
              <a:extLst xmlns:a="http://schemas.openxmlformats.org/drawingml/2006/main">
                <a:ext uri="{FF2B5EF4-FFF2-40B4-BE49-F238E27FC236}">
                  <a16:creationId xmlns:a16="http://schemas.microsoft.com/office/drawing/2014/main" id="{466FA590-77CC-42F2-89B0-E3A24E3634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p>
    <w:p w14:paraId="22A33BF2" w14:textId="77777777" w:rsidR="00194D84" w:rsidRPr="00194D84" w:rsidRDefault="00194D84" w:rsidP="00194D84">
      <w:pPr>
        <w:spacing w:after="200" w:line="312" w:lineRule="auto"/>
        <w:rPr>
          <w:rFonts w:ascii="Avenir Next LT Pro" w:eastAsia="MS Mincho" w:hAnsi="Avenir Next LT Pro" w:cs="Calibri"/>
          <w:sz w:val="20"/>
          <w:szCs w:val="20"/>
        </w:rPr>
      </w:pPr>
      <w:r w:rsidRPr="00194D84">
        <w:rPr>
          <w:rFonts w:ascii="Avenir Next LT Pro" w:eastAsia="MS Mincho" w:hAnsi="Avenir Next LT Pro" w:cs="Calibri"/>
          <w:sz w:val="20"/>
          <w:szCs w:val="20"/>
        </w:rPr>
        <w:t>Fonte: Indice di Capacità Amministrativa 2021</w:t>
      </w:r>
    </w:p>
    <w:p w14:paraId="6B3F796B" w14:textId="77777777" w:rsidR="00194D84" w:rsidRPr="00194D84" w:rsidRDefault="00194D84" w:rsidP="00194D84">
      <w:pPr>
        <w:widowControl w:val="0"/>
        <w:spacing w:after="200" w:line="312" w:lineRule="auto"/>
        <w:jc w:val="right"/>
        <w:rPr>
          <w:rFonts w:ascii="Avenir Next LT Pro" w:eastAsia="MS Mincho" w:hAnsi="Avenir Next LT Pro" w:cs="Times New Roman"/>
          <w:sz w:val="23"/>
        </w:rPr>
      </w:pPr>
      <w:r w:rsidRPr="00194D84">
        <w:rPr>
          <w:rFonts w:ascii="Avenir Next LT Pro" w:eastAsia="MS Mincho" w:hAnsi="Avenir Next LT Pro" w:cs="Calibri"/>
          <w:noProof/>
          <w:sz w:val="20"/>
          <w:szCs w:val="20"/>
        </w:rPr>
        <w:drawing>
          <wp:inline distT="0" distB="0" distL="0" distR="0" wp14:anchorId="1E954F7E" wp14:editId="61174866">
            <wp:extent cx="1401534" cy="1468120"/>
            <wp:effectExtent l="0" t="0" r="8255" b="0"/>
            <wp:docPr id="100" name="Immagine 100"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magine 89" descr="Immagine che contiene tavolo&#10;&#10;Descrizione generata automaticamente"/>
                    <pic:cNvPicPr/>
                  </pic:nvPicPr>
                  <pic:blipFill>
                    <a:blip r:embed="rId8"/>
                    <a:stretch>
                      <a:fillRect/>
                    </a:stretch>
                  </pic:blipFill>
                  <pic:spPr>
                    <a:xfrm>
                      <a:off x="0" y="0"/>
                      <a:ext cx="1406521" cy="1473344"/>
                    </a:xfrm>
                    <a:prstGeom prst="rect">
                      <a:avLst/>
                    </a:prstGeom>
                  </pic:spPr>
                </pic:pic>
              </a:graphicData>
            </a:graphic>
          </wp:inline>
        </w:drawing>
      </w:r>
    </w:p>
    <w:p w14:paraId="7D21FB26" w14:textId="77777777" w:rsidR="00194D84" w:rsidRPr="00194D84" w:rsidRDefault="00194D84" w:rsidP="00194D84">
      <w:pPr>
        <w:widowControl w:val="0"/>
        <w:spacing w:after="200" w:line="312" w:lineRule="auto"/>
        <w:jc w:val="right"/>
        <w:rPr>
          <w:rFonts w:ascii="Avenir Next LT Pro" w:eastAsia="MS Mincho" w:hAnsi="Avenir Next LT Pro" w:cs="Times New Roman"/>
          <w:sz w:val="23"/>
        </w:rPr>
      </w:pPr>
    </w:p>
    <w:p w14:paraId="1BACD59F" w14:textId="77777777" w:rsidR="00194D84" w:rsidRPr="00194D84" w:rsidRDefault="00194D84" w:rsidP="00194D84">
      <w:pPr>
        <w:spacing w:after="60" w:line="312" w:lineRule="auto"/>
        <w:jc w:val="both"/>
        <w:rPr>
          <w:rFonts w:ascii="Avenir Next LT Pro" w:eastAsia="MS Mincho" w:hAnsi="Avenir Next LT Pro" w:cs="Times New Roman"/>
          <w:sz w:val="23"/>
        </w:rPr>
      </w:pPr>
    </w:p>
    <w:p w14:paraId="508BEF21"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Considerazione analoga va fatta per l’Unione campana Terre dell’</w:t>
      </w:r>
      <w:proofErr w:type="spellStart"/>
      <w:r w:rsidRPr="00194D84">
        <w:rPr>
          <w:rFonts w:ascii="Avenir Next LT Pro" w:eastAsia="MS Mincho" w:hAnsi="Avenir Next LT Pro" w:cs="Times New Roman"/>
          <w:sz w:val="23"/>
        </w:rPr>
        <w:t>Ufita</w:t>
      </w:r>
      <w:proofErr w:type="spellEnd"/>
      <w:r w:rsidRPr="00194D84">
        <w:rPr>
          <w:rFonts w:ascii="Avenir Next LT Pro" w:eastAsia="MS Mincho" w:hAnsi="Avenir Next LT Pro" w:cs="Times New Roman"/>
          <w:sz w:val="23"/>
        </w:rPr>
        <w:t xml:space="preserve">: anche se nell’indice complessivo è in classe </w:t>
      </w:r>
      <w:proofErr w:type="spellStart"/>
      <w:r w:rsidRPr="00194D84">
        <w:rPr>
          <w:rFonts w:ascii="Avenir Next LT Pro" w:eastAsia="MS Mincho" w:hAnsi="Avenir Next LT Pro" w:cs="Times New Roman"/>
          <w:i/>
          <w:sz w:val="23"/>
        </w:rPr>
        <w:t>Fallible</w:t>
      </w:r>
      <w:proofErr w:type="spellEnd"/>
      <w:r w:rsidRPr="00194D84">
        <w:rPr>
          <w:rFonts w:ascii="Avenir Next LT Pro" w:eastAsia="MS Mincho" w:hAnsi="Avenir Next LT Pro" w:cs="Times New Roman"/>
          <w:sz w:val="23"/>
        </w:rPr>
        <w:t xml:space="preserve">, nel Bilancio è riuscita ad arrivare in </w:t>
      </w:r>
      <w:r w:rsidRPr="00194D84">
        <w:rPr>
          <w:rFonts w:ascii="Avenir Next LT Pro" w:eastAsia="MS Mincho" w:hAnsi="Avenir Next LT Pro" w:cs="Times New Roman"/>
          <w:i/>
          <w:sz w:val="23"/>
        </w:rPr>
        <w:t>Good</w:t>
      </w:r>
      <w:r w:rsidRPr="00194D84">
        <w:rPr>
          <w:rFonts w:ascii="Avenir Next LT Pro" w:eastAsia="MS Mincho" w:hAnsi="Avenir Next LT Pro" w:cs="Times New Roman"/>
          <w:sz w:val="23"/>
        </w:rPr>
        <w:t xml:space="preserve">, con score pari a 73%, in tal modo posizionandosi subito dopo lo score </w:t>
      </w:r>
      <w:r w:rsidRPr="00194D84">
        <w:rPr>
          <w:rFonts w:ascii="Avenir Next LT Pro" w:eastAsia="MS Mincho" w:hAnsi="Avenir Next LT Pro" w:cs="Times New Roman"/>
          <w:i/>
          <w:sz w:val="23"/>
        </w:rPr>
        <w:t>benchmark</w:t>
      </w:r>
      <w:r w:rsidRPr="00194D84">
        <w:rPr>
          <w:rFonts w:ascii="Avenir Next LT Pro" w:eastAsia="MS Mincho" w:hAnsi="Avenir Next LT Pro" w:cs="Times New Roman"/>
          <w:sz w:val="23"/>
        </w:rPr>
        <w:t>. Il buon risultato si deve al massimo del punteggio che ha realizzato in cinque indicatori su sette.</w:t>
      </w:r>
    </w:p>
    <w:p w14:paraId="2361B1F0"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lastRenderedPageBreak/>
        <w:t xml:space="preserve">Dunque, nell’area Bilancio primeggiano una Unione del Nord e una Sud. Il Nord e il Centro prevalgono nelle altre sei Unioni in classe </w:t>
      </w:r>
      <w:r w:rsidRPr="00194D84">
        <w:rPr>
          <w:rFonts w:ascii="Avenir Next LT Pro" w:eastAsia="MS Mincho" w:hAnsi="Avenir Next LT Pro" w:cs="Times New Roman"/>
          <w:i/>
          <w:sz w:val="23"/>
        </w:rPr>
        <w:t>Good</w:t>
      </w:r>
      <w:r w:rsidRPr="00194D84">
        <w:rPr>
          <w:rFonts w:ascii="Avenir Next LT Pro" w:eastAsia="MS Mincho" w:hAnsi="Avenir Next LT Pro" w:cs="Times New Roman"/>
          <w:sz w:val="23"/>
        </w:rPr>
        <w:t xml:space="preserve">: Terre </w:t>
      </w:r>
      <w:proofErr w:type="spellStart"/>
      <w:r w:rsidRPr="00194D84">
        <w:rPr>
          <w:rFonts w:ascii="Avenir Next LT Pro" w:eastAsia="MS Mincho" w:hAnsi="Avenir Next LT Pro" w:cs="Times New Roman"/>
          <w:sz w:val="23"/>
        </w:rPr>
        <w:t>Roveresche</w:t>
      </w:r>
      <w:proofErr w:type="spellEnd"/>
      <w:r w:rsidRPr="00194D84">
        <w:rPr>
          <w:rFonts w:ascii="Avenir Next LT Pro" w:eastAsia="MS Mincho" w:hAnsi="Avenir Next LT Pro" w:cs="Times New Roman"/>
          <w:sz w:val="23"/>
        </w:rPr>
        <w:t xml:space="preserve"> nelle Marche, Garfagnana in Toscana; Camposampierese, Marca Occidentale e Riviera del Brenta in Veneto, Terre e Fiumi in Emilia, Fossanese in Piemonte. In fondo al </w:t>
      </w:r>
      <w:r w:rsidRPr="00194D84">
        <w:rPr>
          <w:rFonts w:ascii="Avenir Next LT Pro" w:eastAsia="MS Mincho" w:hAnsi="Avenir Next LT Pro" w:cs="Times New Roman"/>
          <w:i/>
          <w:sz w:val="23"/>
        </w:rPr>
        <w:t>ranking</w:t>
      </w:r>
      <w:r w:rsidRPr="00194D84">
        <w:rPr>
          <w:rFonts w:ascii="Avenir Next LT Pro" w:eastAsia="MS Mincho" w:hAnsi="Avenir Next LT Pro" w:cs="Times New Roman"/>
          <w:sz w:val="23"/>
        </w:rPr>
        <w:t xml:space="preserve"> si trova l’Unione toscana Valdichiana Senese, che, in effetti, ha un indice complessivo di capacità amministrativa basso, seguita dalla siciliana Platani Quisquina </w:t>
      </w:r>
      <w:proofErr w:type="spellStart"/>
      <w:r w:rsidRPr="00194D84">
        <w:rPr>
          <w:rFonts w:ascii="Avenir Next LT Pro" w:eastAsia="MS Mincho" w:hAnsi="Avenir Next LT Pro" w:cs="Times New Roman"/>
          <w:sz w:val="23"/>
        </w:rPr>
        <w:t>Magazzolo</w:t>
      </w:r>
      <w:proofErr w:type="spellEnd"/>
      <w:r w:rsidRPr="00194D84">
        <w:rPr>
          <w:rFonts w:ascii="Avenir Next LT Pro" w:eastAsia="MS Mincho" w:hAnsi="Avenir Next LT Pro" w:cs="Times New Roman"/>
          <w:sz w:val="23"/>
        </w:rPr>
        <w:t>.</w:t>
      </w:r>
    </w:p>
    <w:p w14:paraId="75F3FBB5"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La Valle del Savio e la Reno Galliera, entrambe Unioni </w:t>
      </w:r>
      <w:r w:rsidRPr="00194D84">
        <w:rPr>
          <w:rFonts w:ascii="Avenir Next LT Pro" w:eastAsia="MS Mincho" w:hAnsi="Avenir Next LT Pro" w:cs="Times New Roman"/>
          <w:i/>
          <w:sz w:val="23"/>
        </w:rPr>
        <w:t>benchmark</w:t>
      </w:r>
      <w:r w:rsidRPr="00194D84">
        <w:rPr>
          <w:rFonts w:ascii="Avenir Next LT Pro" w:eastAsia="MS Mincho" w:hAnsi="Avenir Next LT Pro" w:cs="Times New Roman"/>
          <w:sz w:val="23"/>
        </w:rPr>
        <w:t xml:space="preserve"> nell’Indice complessivo di Capacità Amministrativa, nell’area Bilancio si fermano in classe </w:t>
      </w:r>
      <w:proofErr w:type="spellStart"/>
      <w:r w:rsidRPr="00194D84">
        <w:rPr>
          <w:rFonts w:ascii="Avenir Next LT Pro" w:eastAsia="MS Mincho" w:hAnsi="Avenir Next LT Pro" w:cs="Times New Roman"/>
          <w:i/>
          <w:sz w:val="23"/>
        </w:rPr>
        <w:t>Satisfactory</w:t>
      </w:r>
      <w:proofErr w:type="spellEnd"/>
      <w:r w:rsidRPr="00194D84">
        <w:rPr>
          <w:rFonts w:ascii="Avenir Next LT Pro" w:eastAsia="MS Mincho" w:hAnsi="Avenir Next LT Pro" w:cs="Times New Roman"/>
          <w:sz w:val="23"/>
        </w:rPr>
        <w:t>.</w:t>
      </w:r>
    </w:p>
    <w:p w14:paraId="2C0C3F73" w14:textId="77777777" w:rsidR="00194D84" w:rsidRPr="00194D84" w:rsidRDefault="00194D84" w:rsidP="00194D84">
      <w:pPr>
        <w:spacing w:after="200" w:line="276" w:lineRule="auto"/>
        <w:rPr>
          <w:rFonts w:ascii="Avenir Next LT Pro" w:eastAsia="MS Mincho" w:hAnsi="Avenir Next LT Pro" w:cs="Times New Roman"/>
          <w:sz w:val="23"/>
        </w:rPr>
      </w:pPr>
      <w:r w:rsidRPr="00194D84">
        <w:rPr>
          <w:rFonts w:ascii="Avenir Next LT Pro" w:eastAsia="MS Mincho" w:hAnsi="Avenir Next LT Pro" w:cs="Times New Roman"/>
          <w:sz w:val="23"/>
        </w:rPr>
        <w:br w:type="page"/>
      </w:r>
    </w:p>
    <w:p w14:paraId="6CEAD972" w14:textId="77777777" w:rsidR="00194D84" w:rsidRPr="00194D84" w:rsidRDefault="00194D84" w:rsidP="00194D84">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2" w:name="_Toc93168802"/>
      <w:r w:rsidRPr="00194D84">
        <w:rPr>
          <w:rFonts w:ascii="Avenir Next LT Pro" w:eastAsia="MS Gothic" w:hAnsi="Avenir Next LT Pro" w:cs="Times New Roman"/>
          <w:b/>
          <w:color w:val="256D9D"/>
          <w:sz w:val="24"/>
          <w:szCs w:val="24"/>
        </w:rPr>
        <w:lastRenderedPageBreak/>
        <w:t>Autonomia finanziaria</w:t>
      </w:r>
      <w:bookmarkEnd w:id="2"/>
    </w:p>
    <w:p w14:paraId="08A4CCE0"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L’indicatore autonomia finanziaria evidenzia la capacità dell’ente di avere entrate proprie (tributarie ed extra tributarie) rispetto all’utilizzo di trasferimenti da altri enti per far fronte agli impegni.</w:t>
      </w:r>
    </w:p>
    <w:p w14:paraId="35545490"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La maggiore autonomia va a due Unioni del Nord: alla veneta Camposampierese e alla piemontese Valli Orco e Soana, che superano il 90% di autonomia, un valore molto elevato visto il contesto amministrativo di riferimento (assenza o quasi di entrate tributarie proprie). A seguire il Comune Terre </w:t>
      </w:r>
      <w:proofErr w:type="spellStart"/>
      <w:r w:rsidRPr="00194D84">
        <w:rPr>
          <w:rFonts w:ascii="Avenir Next LT Pro" w:eastAsia="MS Mincho" w:hAnsi="Avenir Next LT Pro" w:cs="Times New Roman"/>
          <w:sz w:val="23"/>
        </w:rPr>
        <w:t>Roveresche</w:t>
      </w:r>
      <w:proofErr w:type="spellEnd"/>
      <w:r w:rsidRPr="00194D84">
        <w:rPr>
          <w:rFonts w:ascii="Avenir Next LT Pro" w:eastAsia="MS Mincho" w:hAnsi="Avenir Next LT Pro" w:cs="Times New Roman"/>
          <w:sz w:val="23"/>
        </w:rPr>
        <w:t>, nelle Marche, con circa il 76%.</w:t>
      </w:r>
    </w:p>
    <w:p w14:paraId="7F3CF213"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Sul fronte opposto del </w:t>
      </w:r>
      <w:r w:rsidRPr="00194D84">
        <w:rPr>
          <w:rFonts w:ascii="Avenir Next LT Pro" w:eastAsia="MS Mincho" w:hAnsi="Avenir Next LT Pro" w:cs="Times New Roman"/>
          <w:i/>
          <w:sz w:val="23"/>
        </w:rPr>
        <w:t>ranking</w:t>
      </w:r>
      <w:r w:rsidRPr="00194D84">
        <w:rPr>
          <w:rFonts w:ascii="Avenir Next LT Pro" w:eastAsia="MS Mincho" w:hAnsi="Avenir Next LT Pro" w:cs="Times New Roman"/>
          <w:sz w:val="23"/>
        </w:rPr>
        <w:t xml:space="preserve">, alcune Unioni, soprattutto di piccole e piccolissime dimensioni, presentano un livello dell’indicatore molto contenuto, anche inferiore al 10%: si tratta, in particolare, di due Regioni del Sud (Val Vibrata, in Abruzzo, e Platani Quisquina </w:t>
      </w:r>
      <w:proofErr w:type="spellStart"/>
      <w:r w:rsidRPr="00194D84">
        <w:rPr>
          <w:rFonts w:ascii="Avenir Next LT Pro" w:eastAsia="MS Mincho" w:hAnsi="Avenir Next LT Pro" w:cs="Times New Roman"/>
          <w:sz w:val="23"/>
        </w:rPr>
        <w:t>Magazzolo</w:t>
      </w:r>
      <w:proofErr w:type="spellEnd"/>
      <w:r w:rsidRPr="00194D84">
        <w:rPr>
          <w:rFonts w:ascii="Avenir Next LT Pro" w:eastAsia="MS Mincho" w:hAnsi="Avenir Next LT Pro" w:cs="Times New Roman"/>
          <w:sz w:val="23"/>
        </w:rPr>
        <w:t>, in Sicilia) e di una al Nord (Val Gallenca, in Piemonte), le quali evidenziano valori entro il 3%.</w:t>
      </w:r>
    </w:p>
    <w:p w14:paraId="601FB3F8" w14:textId="77777777" w:rsidR="00194D84" w:rsidRPr="00194D84" w:rsidRDefault="00194D84" w:rsidP="00194D84">
      <w:pPr>
        <w:spacing w:after="200" w:line="276" w:lineRule="auto"/>
        <w:rPr>
          <w:rFonts w:ascii="Avenir Next LT Pro" w:eastAsia="MS Mincho" w:hAnsi="Avenir Next LT Pro" w:cs="Times New Roman"/>
          <w:sz w:val="23"/>
        </w:rPr>
      </w:pPr>
    </w:p>
    <w:p w14:paraId="3B480EAE" w14:textId="77777777" w:rsidR="00194D84" w:rsidRPr="00194D84" w:rsidRDefault="00194D84" w:rsidP="00194D84">
      <w:pPr>
        <w:keepNext/>
        <w:spacing w:after="200" w:line="240" w:lineRule="auto"/>
        <w:rPr>
          <w:rFonts w:ascii="Avenir Next LT Pro" w:eastAsia="MS Mincho" w:hAnsi="Avenir Next LT Pro" w:cs="Times New Roman"/>
          <w:i/>
          <w:iCs/>
          <w:color w:val="082A75"/>
          <w:sz w:val="23"/>
          <w:szCs w:val="23"/>
        </w:rPr>
      </w:pPr>
      <w:bookmarkStart w:id="3" w:name="_Toc93171060"/>
      <w:r w:rsidRPr="00194D84">
        <w:rPr>
          <w:rFonts w:ascii="Avenir Next LT Pro" w:eastAsia="MS Mincho" w:hAnsi="Avenir Next LT Pro" w:cs="Times New Roman"/>
          <w:i/>
          <w:iCs/>
          <w:color w:val="082A75"/>
          <w:sz w:val="23"/>
          <w:szCs w:val="23"/>
        </w:rPr>
        <w:t xml:space="preserve">Figura </w:t>
      </w:r>
      <w:r w:rsidRPr="00194D84">
        <w:rPr>
          <w:rFonts w:ascii="Avenir Next LT Pro" w:eastAsia="MS Mincho" w:hAnsi="Avenir Next LT Pro" w:cs="Times New Roman"/>
          <w:i/>
          <w:iCs/>
          <w:color w:val="082A75"/>
          <w:sz w:val="23"/>
          <w:szCs w:val="23"/>
        </w:rPr>
        <w:fldChar w:fldCharType="begin"/>
      </w:r>
      <w:r w:rsidRPr="00194D84">
        <w:rPr>
          <w:rFonts w:ascii="Avenir Next LT Pro" w:eastAsia="MS Mincho" w:hAnsi="Avenir Next LT Pro" w:cs="Times New Roman"/>
          <w:i/>
          <w:iCs/>
          <w:color w:val="082A75"/>
          <w:sz w:val="23"/>
          <w:szCs w:val="23"/>
        </w:rPr>
        <w:instrText xml:space="preserve"> SEQ Figura \* ARABIC </w:instrText>
      </w:r>
      <w:r w:rsidRPr="00194D84">
        <w:rPr>
          <w:rFonts w:ascii="Avenir Next LT Pro" w:eastAsia="MS Mincho" w:hAnsi="Avenir Next LT Pro" w:cs="Times New Roman"/>
          <w:i/>
          <w:iCs/>
          <w:color w:val="082A75"/>
          <w:sz w:val="23"/>
          <w:szCs w:val="23"/>
        </w:rPr>
        <w:fldChar w:fldCharType="separate"/>
      </w:r>
      <w:r w:rsidRPr="00194D84">
        <w:rPr>
          <w:rFonts w:ascii="Avenir Next LT Pro" w:eastAsia="MS Mincho" w:hAnsi="Avenir Next LT Pro" w:cs="Times New Roman"/>
          <w:i/>
          <w:iCs/>
          <w:noProof/>
          <w:color w:val="082A75"/>
          <w:sz w:val="23"/>
          <w:szCs w:val="23"/>
        </w:rPr>
        <w:t>6</w:t>
      </w:r>
      <w:r w:rsidRPr="00194D84">
        <w:rPr>
          <w:rFonts w:ascii="Avenir Next LT Pro" w:eastAsia="MS Mincho" w:hAnsi="Avenir Next LT Pro" w:cs="Times New Roman"/>
          <w:i/>
          <w:iCs/>
          <w:color w:val="082A75"/>
          <w:sz w:val="23"/>
          <w:szCs w:val="23"/>
        </w:rPr>
        <w:fldChar w:fldCharType="end"/>
      </w:r>
      <w:r w:rsidRPr="00194D84">
        <w:rPr>
          <w:rFonts w:ascii="Avenir Next LT Pro" w:eastAsia="MS Mincho" w:hAnsi="Avenir Next LT Pro" w:cs="Times New Roman"/>
          <w:i/>
          <w:iCs/>
          <w:color w:val="082A75"/>
          <w:sz w:val="23"/>
          <w:szCs w:val="23"/>
        </w:rPr>
        <w:t xml:space="preserve"> AUTONOMIA FINANZIARIA</w:t>
      </w:r>
      <w:bookmarkEnd w:id="3"/>
    </w:p>
    <w:p w14:paraId="5667FE07" w14:textId="77777777" w:rsidR="00194D84" w:rsidRPr="00194D84" w:rsidRDefault="00194D84" w:rsidP="00194D84">
      <w:pPr>
        <w:spacing w:after="200" w:line="276" w:lineRule="auto"/>
        <w:jc w:val="center"/>
        <w:rPr>
          <w:rFonts w:ascii="Avenir Next LT Pro" w:eastAsia="MS Mincho" w:hAnsi="Avenir Next LT Pro" w:cs="Times New Roman"/>
          <w:sz w:val="23"/>
        </w:rPr>
      </w:pPr>
      <w:r w:rsidRPr="00194D84">
        <w:rPr>
          <w:rFonts w:ascii="Avenir Next LT Pro" w:eastAsia="MS Mincho" w:hAnsi="Avenir Next LT Pro" w:cs="Times New Roman"/>
          <w:noProof/>
          <w:sz w:val="23"/>
        </w:rPr>
        <w:drawing>
          <wp:inline distT="0" distB="0" distL="0" distR="0" wp14:anchorId="554150AA" wp14:editId="45C05AE8">
            <wp:extent cx="6364557" cy="3764280"/>
            <wp:effectExtent l="0" t="0" r="17780" b="7620"/>
            <wp:docPr id="14" name="Grafico 14">
              <a:extLst xmlns:a="http://schemas.openxmlformats.org/drawingml/2006/main">
                <a:ext uri="{FF2B5EF4-FFF2-40B4-BE49-F238E27FC236}">
                  <a16:creationId xmlns:a16="http://schemas.microsoft.com/office/drawing/2014/main" id="{7E07D3AB-E8EA-462E-A21E-4B3587AFB0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89440F" w14:textId="42D9DE05" w:rsidR="00194D84" w:rsidRDefault="00194D84" w:rsidP="00194D84">
      <w:pPr>
        <w:spacing w:after="200" w:line="276" w:lineRule="auto"/>
        <w:jc w:val="both"/>
        <w:rPr>
          <w:rFonts w:ascii="Avenir Next LT Pro" w:eastAsia="MS Mincho" w:hAnsi="Avenir Next LT Pro" w:cs="Times New Roman"/>
          <w:sz w:val="20"/>
          <w:szCs w:val="20"/>
        </w:rPr>
      </w:pPr>
      <w:r w:rsidRPr="00194D84">
        <w:rPr>
          <w:rFonts w:ascii="Avenir Next LT Pro" w:eastAsia="MS Mincho" w:hAnsi="Avenir Next LT Pro" w:cs="Times New Roman"/>
          <w:sz w:val="20"/>
          <w:szCs w:val="20"/>
        </w:rPr>
        <w:t>Fonte: rielaborazione su dati BDAP</w:t>
      </w:r>
    </w:p>
    <w:p w14:paraId="3B2749FF" w14:textId="77777777" w:rsidR="00194D84" w:rsidRPr="00194D84" w:rsidRDefault="00194D84" w:rsidP="00194D84">
      <w:pPr>
        <w:spacing w:after="200" w:line="276" w:lineRule="auto"/>
        <w:jc w:val="both"/>
        <w:rPr>
          <w:rFonts w:ascii="Avenir Next LT Pro" w:eastAsia="MS Mincho" w:hAnsi="Avenir Next LT Pro" w:cs="Times New Roman"/>
          <w:sz w:val="20"/>
          <w:szCs w:val="20"/>
        </w:rPr>
      </w:pPr>
    </w:p>
    <w:p w14:paraId="2304D469" w14:textId="77777777" w:rsidR="00194D84" w:rsidRPr="00194D84" w:rsidRDefault="00194D84" w:rsidP="00194D84">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4" w:name="_Toc93168803"/>
      <w:r w:rsidRPr="00194D84">
        <w:rPr>
          <w:rFonts w:ascii="Avenir Next LT Pro" w:eastAsia="MS Gothic" w:hAnsi="Avenir Next LT Pro" w:cs="Times New Roman"/>
          <w:b/>
          <w:color w:val="256D9D"/>
          <w:sz w:val="24"/>
          <w:szCs w:val="24"/>
        </w:rPr>
        <w:lastRenderedPageBreak/>
        <w:t>Capacità di riscossione</w:t>
      </w:r>
      <w:bookmarkEnd w:id="4"/>
    </w:p>
    <w:p w14:paraId="0B55756C"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La capacità di riscossione è uno degli indicatori più significativi per valutare l’efficienza amministrativo-contabile di un ente locale.</w:t>
      </w:r>
    </w:p>
    <w:p w14:paraId="68866954"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La percentuale è molto alta in una Unione del Nord: la Valli Orco e Soana, in Piemonte, che supera il 95%.</w:t>
      </w:r>
    </w:p>
    <w:p w14:paraId="0783A518"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Seguono la Federazione Camposampierese (86%), in Veneto, e l’Unione Garfagnana (84%) in Toscana.</w:t>
      </w:r>
    </w:p>
    <w:p w14:paraId="60613A92"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La capacità di spesa scende, invece, al 34 e al 35% rispettivamente per l’Unione Pian del Bruscolo e per l’Unione Platani Quisquina </w:t>
      </w:r>
      <w:proofErr w:type="spellStart"/>
      <w:r w:rsidRPr="00194D84">
        <w:rPr>
          <w:rFonts w:ascii="Avenir Next LT Pro" w:eastAsia="MS Mincho" w:hAnsi="Avenir Next LT Pro" w:cs="Times New Roman"/>
          <w:sz w:val="23"/>
        </w:rPr>
        <w:t>Magazzolo</w:t>
      </w:r>
      <w:proofErr w:type="spellEnd"/>
      <w:r w:rsidRPr="00194D84">
        <w:rPr>
          <w:rFonts w:ascii="Avenir Next LT Pro" w:eastAsia="MS Mincho" w:hAnsi="Avenir Next LT Pro" w:cs="Times New Roman"/>
          <w:sz w:val="23"/>
        </w:rPr>
        <w:t>. Comunque, sotto il 50% si fermano anche altre due Unioni: la marchigiana Potenza Esino Musone e la piemontese (Val Gallenca).</w:t>
      </w:r>
    </w:p>
    <w:p w14:paraId="0D10DD5E" w14:textId="77777777" w:rsidR="00194D84" w:rsidRPr="00194D84" w:rsidRDefault="00194D84" w:rsidP="00194D84">
      <w:pPr>
        <w:spacing w:after="200" w:line="276"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ab/>
      </w:r>
    </w:p>
    <w:p w14:paraId="5B0908F5" w14:textId="77777777" w:rsidR="00194D84" w:rsidRPr="00194D84" w:rsidRDefault="00194D84" w:rsidP="00194D84">
      <w:pPr>
        <w:keepNext/>
        <w:spacing w:after="200" w:line="240" w:lineRule="auto"/>
        <w:jc w:val="both"/>
        <w:rPr>
          <w:rFonts w:ascii="Avenir Next LT Pro" w:eastAsia="MS Mincho" w:hAnsi="Avenir Next LT Pro" w:cs="Times New Roman"/>
          <w:i/>
          <w:iCs/>
          <w:color w:val="082A75"/>
          <w:sz w:val="23"/>
          <w:szCs w:val="23"/>
        </w:rPr>
      </w:pPr>
      <w:bookmarkStart w:id="5" w:name="_Toc93170917"/>
      <w:r w:rsidRPr="00194D84">
        <w:rPr>
          <w:rFonts w:ascii="Avenir Next LT Pro" w:eastAsia="MS Mincho" w:hAnsi="Avenir Next LT Pro" w:cs="Times New Roman"/>
          <w:i/>
          <w:iCs/>
          <w:color w:val="082A75"/>
          <w:sz w:val="23"/>
          <w:szCs w:val="23"/>
        </w:rPr>
        <w:t xml:space="preserve">Tabella </w:t>
      </w:r>
      <w:r w:rsidRPr="00194D84">
        <w:rPr>
          <w:rFonts w:ascii="Avenir Next LT Pro" w:eastAsia="MS Mincho" w:hAnsi="Avenir Next LT Pro" w:cs="Times New Roman"/>
          <w:i/>
          <w:iCs/>
          <w:color w:val="082A75"/>
          <w:sz w:val="23"/>
          <w:szCs w:val="23"/>
        </w:rPr>
        <w:fldChar w:fldCharType="begin"/>
      </w:r>
      <w:r w:rsidRPr="00194D84">
        <w:rPr>
          <w:rFonts w:ascii="Avenir Next LT Pro" w:eastAsia="MS Mincho" w:hAnsi="Avenir Next LT Pro" w:cs="Times New Roman"/>
          <w:i/>
          <w:iCs/>
          <w:color w:val="082A75"/>
          <w:sz w:val="23"/>
          <w:szCs w:val="23"/>
        </w:rPr>
        <w:instrText xml:space="preserve"> SEQ Tabella \* ARABIC </w:instrText>
      </w:r>
      <w:r w:rsidRPr="00194D84">
        <w:rPr>
          <w:rFonts w:ascii="Avenir Next LT Pro" w:eastAsia="MS Mincho" w:hAnsi="Avenir Next LT Pro" w:cs="Times New Roman"/>
          <w:i/>
          <w:iCs/>
          <w:color w:val="082A75"/>
          <w:sz w:val="23"/>
          <w:szCs w:val="23"/>
        </w:rPr>
        <w:fldChar w:fldCharType="separate"/>
      </w:r>
      <w:r w:rsidRPr="00194D84">
        <w:rPr>
          <w:rFonts w:ascii="Avenir Next LT Pro" w:eastAsia="MS Mincho" w:hAnsi="Avenir Next LT Pro" w:cs="Times New Roman"/>
          <w:i/>
          <w:iCs/>
          <w:noProof/>
          <w:color w:val="082A75"/>
          <w:sz w:val="23"/>
          <w:szCs w:val="23"/>
        </w:rPr>
        <w:t>12</w:t>
      </w:r>
      <w:r w:rsidRPr="00194D84">
        <w:rPr>
          <w:rFonts w:ascii="Avenir Next LT Pro" w:eastAsia="MS Mincho" w:hAnsi="Avenir Next LT Pro" w:cs="Times New Roman"/>
          <w:i/>
          <w:iCs/>
          <w:color w:val="082A75"/>
          <w:sz w:val="23"/>
          <w:szCs w:val="23"/>
        </w:rPr>
        <w:fldChar w:fldCharType="end"/>
      </w:r>
      <w:r w:rsidRPr="00194D84">
        <w:rPr>
          <w:rFonts w:ascii="Avenir Next LT Pro" w:eastAsia="MS Mincho" w:hAnsi="Avenir Next LT Pro" w:cs="Times New Roman"/>
          <w:i/>
          <w:iCs/>
          <w:color w:val="082A75"/>
          <w:sz w:val="23"/>
          <w:szCs w:val="23"/>
        </w:rPr>
        <w:t xml:space="preserve"> CAPACITÀ DI RISCOSSIONE</w:t>
      </w:r>
      <w:bookmarkEnd w:id="5"/>
    </w:p>
    <w:tbl>
      <w:tblPr>
        <w:tblStyle w:val="Tabellagriglia4-colore21"/>
        <w:tblW w:w="6941" w:type="dxa"/>
        <w:jc w:val="center"/>
        <w:tblLook w:val="04A0" w:firstRow="1" w:lastRow="0" w:firstColumn="1" w:lastColumn="0" w:noHBand="0" w:noVBand="1"/>
      </w:tblPr>
      <w:tblGrid>
        <w:gridCol w:w="5524"/>
        <w:gridCol w:w="1417"/>
      </w:tblGrid>
      <w:tr w:rsidR="00194D84" w:rsidRPr="00194D84" w14:paraId="64532E91" w14:textId="77777777" w:rsidTr="00194D84">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04A9867C" w14:textId="77777777" w:rsidR="00194D84" w:rsidRPr="00194D84" w:rsidRDefault="00194D84" w:rsidP="00194D84">
            <w:pPr>
              <w:jc w:val="center"/>
              <w:rPr>
                <w:rFonts w:ascii="Avenir Next LT Pro" w:eastAsia="Times New Roman" w:hAnsi="Avenir Next LT Pro" w:cs="Calibri"/>
                <w:lang w:eastAsia="it-IT"/>
              </w:rPr>
            </w:pPr>
            <w:r w:rsidRPr="00194D84">
              <w:rPr>
                <w:rFonts w:ascii="Avenir Next LT Pro" w:eastAsia="Times New Roman" w:hAnsi="Avenir Next LT Pro" w:cs="Calibri"/>
                <w:lang w:eastAsia="it-IT"/>
              </w:rPr>
              <w:t>Unione</w:t>
            </w:r>
          </w:p>
        </w:tc>
        <w:tc>
          <w:tcPr>
            <w:tcW w:w="1417" w:type="dxa"/>
            <w:noWrap/>
            <w:vAlign w:val="center"/>
            <w:hideMark/>
          </w:tcPr>
          <w:p w14:paraId="7698F09A" w14:textId="77777777" w:rsidR="00194D84" w:rsidRPr="00194D84" w:rsidRDefault="00194D84" w:rsidP="00194D84">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194D84">
              <w:rPr>
                <w:rFonts w:ascii="Avenir Next LT Pro" w:eastAsia="Times New Roman" w:hAnsi="Avenir Next LT Pro" w:cs="Calibri"/>
                <w:lang w:eastAsia="it-IT"/>
              </w:rPr>
              <w:t>%</w:t>
            </w:r>
          </w:p>
        </w:tc>
      </w:tr>
      <w:tr w:rsidR="00194D84" w:rsidRPr="00194D84" w14:paraId="04C96FD7"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662E5CCC"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Valli Orco e Soana</w:t>
            </w:r>
          </w:p>
        </w:tc>
        <w:tc>
          <w:tcPr>
            <w:tcW w:w="1417" w:type="dxa"/>
            <w:noWrap/>
            <w:vAlign w:val="center"/>
            <w:hideMark/>
          </w:tcPr>
          <w:p w14:paraId="1BAADC12"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96</w:t>
            </w:r>
          </w:p>
        </w:tc>
      </w:tr>
      <w:tr w:rsidR="00194D84" w:rsidRPr="00194D84" w14:paraId="201FA662"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3ED441A7"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FC Camposampierese</w:t>
            </w:r>
          </w:p>
        </w:tc>
        <w:tc>
          <w:tcPr>
            <w:tcW w:w="1417" w:type="dxa"/>
            <w:noWrap/>
            <w:vAlign w:val="center"/>
            <w:hideMark/>
          </w:tcPr>
          <w:p w14:paraId="6FE7867F"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86</w:t>
            </w:r>
          </w:p>
        </w:tc>
      </w:tr>
      <w:tr w:rsidR="00194D84" w:rsidRPr="00194D84" w14:paraId="3902DC0B"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793EB4F8"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Garfagnana</w:t>
            </w:r>
          </w:p>
        </w:tc>
        <w:tc>
          <w:tcPr>
            <w:tcW w:w="1417" w:type="dxa"/>
            <w:noWrap/>
            <w:vAlign w:val="center"/>
            <w:hideMark/>
          </w:tcPr>
          <w:p w14:paraId="75B19736"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84</w:t>
            </w:r>
          </w:p>
        </w:tc>
      </w:tr>
      <w:tr w:rsidR="00194D84" w:rsidRPr="00194D84" w14:paraId="3FAD35F4"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3DC05B5A"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Terre e Fiumi</w:t>
            </w:r>
          </w:p>
        </w:tc>
        <w:tc>
          <w:tcPr>
            <w:tcW w:w="1417" w:type="dxa"/>
            <w:noWrap/>
            <w:vAlign w:val="center"/>
            <w:hideMark/>
          </w:tcPr>
          <w:p w14:paraId="177D5EDE"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83</w:t>
            </w:r>
          </w:p>
        </w:tc>
      </w:tr>
      <w:tr w:rsidR="00194D84" w:rsidRPr="00194D84" w14:paraId="414372C8"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72FB9A2B"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 xml:space="preserve">C Terre </w:t>
            </w:r>
            <w:proofErr w:type="spellStart"/>
            <w:r w:rsidRPr="00194D84">
              <w:rPr>
                <w:rFonts w:ascii="Avenir Next LT Pro" w:eastAsia="Times New Roman" w:hAnsi="Avenir Next LT Pro" w:cs="Calibri"/>
                <w:color w:val="000000"/>
                <w:lang w:eastAsia="it-IT"/>
              </w:rPr>
              <w:t>Roveresche</w:t>
            </w:r>
            <w:proofErr w:type="spellEnd"/>
          </w:p>
        </w:tc>
        <w:tc>
          <w:tcPr>
            <w:tcW w:w="1417" w:type="dxa"/>
            <w:noWrap/>
            <w:vAlign w:val="center"/>
            <w:hideMark/>
          </w:tcPr>
          <w:p w14:paraId="39565D3B"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82</w:t>
            </w:r>
          </w:p>
        </w:tc>
      </w:tr>
      <w:tr w:rsidR="00194D84" w:rsidRPr="00194D84" w14:paraId="19E7FAB1"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53972E0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Valle del Savio</w:t>
            </w:r>
          </w:p>
        </w:tc>
        <w:tc>
          <w:tcPr>
            <w:tcW w:w="1417" w:type="dxa"/>
            <w:noWrap/>
            <w:vAlign w:val="center"/>
            <w:hideMark/>
          </w:tcPr>
          <w:p w14:paraId="69CDDEC4"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81</w:t>
            </w:r>
          </w:p>
        </w:tc>
      </w:tr>
      <w:tr w:rsidR="00194D84" w:rsidRPr="00194D84" w14:paraId="1905C9CA"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73892AF2"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Terre dell’</w:t>
            </w:r>
            <w:proofErr w:type="spellStart"/>
            <w:r w:rsidRPr="00194D84">
              <w:rPr>
                <w:rFonts w:ascii="Avenir Next LT Pro" w:eastAsia="Times New Roman" w:hAnsi="Avenir Next LT Pro" w:cs="Calibri"/>
                <w:color w:val="000000"/>
                <w:lang w:eastAsia="it-IT"/>
              </w:rPr>
              <w:t>Ufita</w:t>
            </w:r>
            <w:proofErr w:type="spellEnd"/>
          </w:p>
        </w:tc>
        <w:tc>
          <w:tcPr>
            <w:tcW w:w="1417" w:type="dxa"/>
            <w:noWrap/>
            <w:vAlign w:val="center"/>
            <w:hideMark/>
          </w:tcPr>
          <w:p w14:paraId="70416D2A"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80</w:t>
            </w:r>
          </w:p>
        </w:tc>
      </w:tr>
      <w:tr w:rsidR="00194D84" w:rsidRPr="00194D84" w14:paraId="1B2FC39D"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0E1B02A8"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Valmarecchia</w:t>
            </w:r>
          </w:p>
        </w:tc>
        <w:tc>
          <w:tcPr>
            <w:tcW w:w="1417" w:type="dxa"/>
            <w:noWrap/>
            <w:vAlign w:val="center"/>
            <w:hideMark/>
          </w:tcPr>
          <w:p w14:paraId="3D41AA51"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80</w:t>
            </w:r>
          </w:p>
        </w:tc>
      </w:tr>
      <w:tr w:rsidR="00194D84" w:rsidRPr="00194D84" w14:paraId="3FDF43B0"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12701DE1"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Montani Appennino Pistoiese</w:t>
            </w:r>
          </w:p>
        </w:tc>
        <w:tc>
          <w:tcPr>
            <w:tcW w:w="1417" w:type="dxa"/>
            <w:noWrap/>
            <w:vAlign w:val="center"/>
            <w:hideMark/>
          </w:tcPr>
          <w:p w14:paraId="7236EAEC"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76</w:t>
            </w:r>
          </w:p>
        </w:tc>
      </w:tr>
      <w:tr w:rsidR="00194D84" w:rsidRPr="00194D84" w14:paraId="6C7852C6"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73349CC3"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Romagna Faentina</w:t>
            </w:r>
          </w:p>
        </w:tc>
        <w:tc>
          <w:tcPr>
            <w:tcW w:w="1417" w:type="dxa"/>
            <w:noWrap/>
            <w:vAlign w:val="center"/>
            <w:hideMark/>
          </w:tcPr>
          <w:p w14:paraId="446EDF46"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74</w:t>
            </w:r>
          </w:p>
        </w:tc>
      </w:tr>
      <w:tr w:rsidR="00194D84" w:rsidRPr="00194D84" w14:paraId="54225269"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5F0C67AB"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Bassa Reggiana</w:t>
            </w:r>
          </w:p>
        </w:tc>
        <w:tc>
          <w:tcPr>
            <w:tcW w:w="1417" w:type="dxa"/>
            <w:noWrap/>
            <w:vAlign w:val="center"/>
            <w:hideMark/>
          </w:tcPr>
          <w:p w14:paraId="79F20121"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70</w:t>
            </w:r>
          </w:p>
        </w:tc>
      </w:tr>
      <w:tr w:rsidR="00194D84" w:rsidRPr="00194D84" w14:paraId="44785C0F"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43C0771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Taro e Ceno</w:t>
            </w:r>
          </w:p>
        </w:tc>
        <w:tc>
          <w:tcPr>
            <w:tcW w:w="1417" w:type="dxa"/>
            <w:noWrap/>
            <w:vAlign w:val="center"/>
            <w:hideMark/>
          </w:tcPr>
          <w:p w14:paraId="49A47063"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67</w:t>
            </w:r>
          </w:p>
        </w:tc>
      </w:tr>
      <w:tr w:rsidR="00194D84" w:rsidRPr="00194D84" w14:paraId="3142607D"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587079F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Reno Galliera</w:t>
            </w:r>
          </w:p>
        </w:tc>
        <w:tc>
          <w:tcPr>
            <w:tcW w:w="1417" w:type="dxa"/>
            <w:noWrap/>
            <w:vAlign w:val="center"/>
            <w:hideMark/>
          </w:tcPr>
          <w:p w14:paraId="6E042D15"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66</w:t>
            </w:r>
          </w:p>
        </w:tc>
      </w:tr>
      <w:tr w:rsidR="00194D84" w:rsidRPr="00194D84" w14:paraId="69F10F6B"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5A7C5794"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Circondario Empolese  Valdelsa</w:t>
            </w:r>
          </w:p>
        </w:tc>
        <w:tc>
          <w:tcPr>
            <w:tcW w:w="1417" w:type="dxa"/>
            <w:noWrap/>
            <w:vAlign w:val="center"/>
            <w:hideMark/>
          </w:tcPr>
          <w:p w14:paraId="6F389D22"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66</w:t>
            </w:r>
          </w:p>
        </w:tc>
      </w:tr>
      <w:tr w:rsidR="00194D84" w:rsidRPr="00194D84" w14:paraId="6A466C31"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5FE975A1"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Fossanese</w:t>
            </w:r>
          </w:p>
        </w:tc>
        <w:tc>
          <w:tcPr>
            <w:tcW w:w="1417" w:type="dxa"/>
            <w:noWrap/>
            <w:vAlign w:val="center"/>
            <w:hideMark/>
          </w:tcPr>
          <w:p w14:paraId="1A5281B3"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65</w:t>
            </w:r>
          </w:p>
        </w:tc>
      </w:tr>
      <w:tr w:rsidR="00194D84" w:rsidRPr="00194D84" w14:paraId="75314CA3"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2AB18E8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Marca Occidentale</w:t>
            </w:r>
          </w:p>
        </w:tc>
        <w:tc>
          <w:tcPr>
            <w:tcW w:w="1417" w:type="dxa"/>
            <w:noWrap/>
            <w:vAlign w:val="center"/>
            <w:hideMark/>
          </w:tcPr>
          <w:p w14:paraId="78B5E579"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63</w:t>
            </w:r>
          </w:p>
        </w:tc>
      </w:tr>
      <w:tr w:rsidR="00194D84" w:rsidRPr="00194D84" w14:paraId="00FA81B6"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7F5608D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Caldogno, Costabissara, Isola Vicentina</w:t>
            </w:r>
          </w:p>
        </w:tc>
        <w:tc>
          <w:tcPr>
            <w:tcW w:w="1417" w:type="dxa"/>
            <w:noWrap/>
            <w:vAlign w:val="center"/>
            <w:hideMark/>
          </w:tcPr>
          <w:p w14:paraId="229D20A8"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61</w:t>
            </w:r>
          </w:p>
        </w:tc>
      </w:tr>
      <w:tr w:rsidR="00194D84" w:rsidRPr="00194D84" w14:paraId="47625CE3"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254ECAD5"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Valdichiana senese</w:t>
            </w:r>
          </w:p>
        </w:tc>
        <w:tc>
          <w:tcPr>
            <w:tcW w:w="1417" w:type="dxa"/>
            <w:noWrap/>
            <w:vAlign w:val="center"/>
            <w:hideMark/>
          </w:tcPr>
          <w:p w14:paraId="5AC80B32"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56</w:t>
            </w:r>
          </w:p>
        </w:tc>
      </w:tr>
      <w:tr w:rsidR="00194D84" w:rsidRPr="00194D84" w14:paraId="5CA81997"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239238D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Riviera del Brenta</w:t>
            </w:r>
          </w:p>
        </w:tc>
        <w:tc>
          <w:tcPr>
            <w:tcW w:w="1417" w:type="dxa"/>
            <w:noWrap/>
            <w:vAlign w:val="center"/>
            <w:hideMark/>
          </w:tcPr>
          <w:p w14:paraId="3B9BA224"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55</w:t>
            </w:r>
          </w:p>
        </w:tc>
      </w:tr>
      <w:tr w:rsidR="00194D84" w:rsidRPr="00194D84" w14:paraId="244D2204"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37EA9FE1"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Valdera</w:t>
            </w:r>
          </w:p>
        </w:tc>
        <w:tc>
          <w:tcPr>
            <w:tcW w:w="1417" w:type="dxa"/>
            <w:noWrap/>
            <w:vAlign w:val="center"/>
            <w:hideMark/>
          </w:tcPr>
          <w:p w14:paraId="3F045567"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52</w:t>
            </w:r>
          </w:p>
        </w:tc>
      </w:tr>
      <w:tr w:rsidR="00194D84" w:rsidRPr="00194D84" w14:paraId="564E2895"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3E1EC5E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 Vibrata</w:t>
            </w:r>
          </w:p>
        </w:tc>
        <w:tc>
          <w:tcPr>
            <w:tcW w:w="1417" w:type="dxa"/>
            <w:noWrap/>
            <w:vAlign w:val="center"/>
            <w:hideMark/>
          </w:tcPr>
          <w:p w14:paraId="3D99F4B9"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50</w:t>
            </w:r>
          </w:p>
        </w:tc>
      </w:tr>
      <w:tr w:rsidR="00194D84" w:rsidRPr="00194D84" w14:paraId="131137B4"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0F77D1FF"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Val Gallenca</w:t>
            </w:r>
          </w:p>
        </w:tc>
        <w:tc>
          <w:tcPr>
            <w:tcW w:w="1417" w:type="dxa"/>
            <w:noWrap/>
            <w:vAlign w:val="center"/>
            <w:hideMark/>
          </w:tcPr>
          <w:p w14:paraId="02BFCC67"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49</w:t>
            </w:r>
          </w:p>
        </w:tc>
      </w:tr>
      <w:tr w:rsidR="00194D84" w:rsidRPr="00194D84" w14:paraId="0839C2E8"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1692B54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Potenza Esino Musone</w:t>
            </w:r>
          </w:p>
        </w:tc>
        <w:tc>
          <w:tcPr>
            <w:tcW w:w="1417" w:type="dxa"/>
            <w:noWrap/>
            <w:vAlign w:val="center"/>
            <w:hideMark/>
          </w:tcPr>
          <w:p w14:paraId="1541612D"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46</w:t>
            </w:r>
          </w:p>
        </w:tc>
      </w:tr>
      <w:tr w:rsidR="00194D84" w:rsidRPr="00194D84" w14:paraId="7FAF740F"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2AF703AB"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 xml:space="preserve">Platani Quisquina </w:t>
            </w:r>
            <w:proofErr w:type="spellStart"/>
            <w:r w:rsidRPr="00194D84">
              <w:rPr>
                <w:rFonts w:ascii="Avenir Next LT Pro" w:eastAsia="Times New Roman" w:hAnsi="Avenir Next LT Pro" w:cs="Calibri"/>
                <w:color w:val="000000"/>
                <w:lang w:eastAsia="it-IT"/>
              </w:rPr>
              <w:t>Magazzolo</w:t>
            </w:r>
            <w:proofErr w:type="spellEnd"/>
          </w:p>
        </w:tc>
        <w:tc>
          <w:tcPr>
            <w:tcW w:w="1417" w:type="dxa"/>
            <w:noWrap/>
            <w:vAlign w:val="center"/>
            <w:hideMark/>
          </w:tcPr>
          <w:p w14:paraId="6154723D"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35</w:t>
            </w:r>
          </w:p>
        </w:tc>
      </w:tr>
      <w:tr w:rsidR="00194D84" w:rsidRPr="00194D84" w14:paraId="28DB941E"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090464DB"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Pian del Bruscolo</w:t>
            </w:r>
          </w:p>
        </w:tc>
        <w:tc>
          <w:tcPr>
            <w:tcW w:w="1417" w:type="dxa"/>
            <w:noWrap/>
            <w:vAlign w:val="center"/>
            <w:hideMark/>
          </w:tcPr>
          <w:p w14:paraId="089DCD59"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34</w:t>
            </w:r>
          </w:p>
        </w:tc>
      </w:tr>
      <w:tr w:rsidR="00194D84" w:rsidRPr="00194D84" w14:paraId="1F21E07C"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0ACE130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lastRenderedPageBreak/>
              <w:t>Valle del Belice</w:t>
            </w:r>
          </w:p>
        </w:tc>
        <w:tc>
          <w:tcPr>
            <w:tcW w:w="1417" w:type="dxa"/>
            <w:noWrap/>
            <w:vAlign w:val="center"/>
            <w:hideMark/>
          </w:tcPr>
          <w:p w14:paraId="1EBBA126"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7CCF6236"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71ADB8E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Valle del Torbido</w:t>
            </w:r>
          </w:p>
        </w:tc>
        <w:tc>
          <w:tcPr>
            <w:tcW w:w="1417" w:type="dxa"/>
            <w:noWrap/>
            <w:vAlign w:val="center"/>
            <w:hideMark/>
          </w:tcPr>
          <w:p w14:paraId="309C7208"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26BEEDC6"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3AF7B27F"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UT Intercomunale Collio-Alto Isonzo</w:t>
            </w:r>
          </w:p>
        </w:tc>
        <w:tc>
          <w:tcPr>
            <w:tcW w:w="1417" w:type="dxa"/>
            <w:noWrap/>
            <w:vAlign w:val="center"/>
            <w:hideMark/>
          </w:tcPr>
          <w:p w14:paraId="4B8775CC"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15962694"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05B49688"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Madonie</w:t>
            </w:r>
          </w:p>
        </w:tc>
        <w:tc>
          <w:tcPr>
            <w:tcW w:w="1417" w:type="dxa"/>
            <w:noWrap/>
            <w:vAlign w:val="center"/>
            <w:hideMark/>
          </w:tcPr>
          <w:p w14:paraId="7BFF8B76"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bl>
    <w:p w14:paraId="3C52C738" w14:textId="77777777" w:rsidR="00194D84" w:rsidRPr="00194D84" w:rsidRDefault="00194D84" w:rsidP="00194D84">
      <w:pPr>
        <w:spacing w:before="120" w:after="200" w:line="276" w:lineRule="auto"/>
        <w:jc w:val="both"/>
        <w:rPr>
          <w:rFonts w:ascii="Avenir Next LT Pro" w:eastAsia="MS Mincho" w:hAnsi="Avenir Next LT Pro" w:cs="Times New Roman"/>
          <w:sz w:val="20"/>
          <w:szCs w:val="20"/>
        </w:rPr>
      </w:pPr>
      <w:r w:rsidRPr="00194D84">
        <w:rPr>
          <w:rFonts w:ascii="Avenir Next LT Pro" w:eastAsia="MS Mincho" w:hAnsi="Avenir Next LT Pro" w:cs="Times New Roman"/>
          <w:sz w:val="20"/>
          <w:szCs w:val="20"/>
        </w:rPr>
        <w:t>Fonte: rielaborazione su dati BDAP</w:t>
      </w:r>
    </w:p>
    <w:p w14:paraId="4EB185CF" w14:textId="77777777" w:rsidR="00194D84" w:rsidRPr="00194D84" w:rsidRDefault="00194D84" w:rsidP="00194D84">
      <w:pPr>
        <w:spacing w:after="200" w:line="276" w:lineRule="auto"/>
        <w:jc w:val="both"/>
        <w:rPr>
          <w:rFonts w:ascii="Avenir Next LT Pro" w:eastAsia="MS Mincho" w:hAnsi="Avenir Next LT Pro" w:cs="Times New Roman"/>
          <w:sz w:val="23"/>
        </w:rPr>
      </w:pPr>
    </w:p>
    <w:p w14:paraId="0B674792" w14:textId="77777777" w:rsidR="00194D84" w:rsidRPr="00194D84" w:rsidRDefault="00194D84" w:rsidP="00194D84">
      <w:pPr>
        <w:spacing w:after="200" w:line="276" w:lineRule="auto"/>
        <w:jc w:val="both"/>
        <w:rPr>
          <w:rFonts w:ascii="Avenir Next LT Pro" w:eastAsia="MS Mincho" w:hAnsi="Avenir Next LT Pro" w:cs="Times New Roman"/>
          <w:sz w:val="23"/>
        </w:rPr>
      </w:pPr>
    </w:p>
    <w:p w14:paraId="143158B3" w14:textId="77777777" w:rsidR="00194D84" w:rsidRPr="00194D84" w:rsidRDefault="00194D84" w:rsidP="00194D84">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6" w:name="_Toc93168804"/>
      <w:r w:rsidRPr="00194D84">
        <w:rPr>
          <w:rFonts w:ascii="Avenir Next LT Pro" w:eastAsia="MS Gothic" w:hAnsi="Avenir Next LT Pro" w:cs="Times New Roman"/>
          <w:b/>
          <w:color w:val="256D9D"/>
          <w:sz w:val="24"/>
          <w:szCs w:val="24"/>
        </w:rPr>
        <w:t>Capacità di spesa</w:t>
      </w:r>
      <w:bookmarkEnd w:id="6"/>
    </w:p>
    <w:p w14:paraId="44248865"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La capacità di spesa indica la capacità dell’ente di rispettare gli impegni di pagamento assunti e spendere le somme stanziate di parte corrente e in conto capitale.</w:t>
      </w:r>
    </w:p>
    <w:p w14:paraId="48915B77"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Quella capacità supera l’85% in quattro Unioni: tre sono del Nord (Riviera del Brenta, Valli Orco e Soana, Terre e Fiumi) e una del Centro (Garfagnana).</w:t>
      </w:r>
    </w:p>
    <w:p w14:paraId="0B6EB6BB"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È del Centro Italia anche l’Unione con la minore capacità di spesa: Pian del Bruscolo, con il 40%. Poco sopra si fermano le due Unioni del Sud Val Vibrata e Terre dell'</w:t>
      </w:r>
      <w:proofErr w:type="spellStart"/>
      <w:r w:rsidRPr="00194D84">
        <w:rPr>
          <w:rFonts w:ascii="Avenir Next LT Pro" w:eastAsia="MS Mincho" w:hAnsi="Avenir Next LT Pro" w:cs="Times New Roman"/>
          <w:sz w:val="23"/>
        </w:rPr>
        <w:t>Ufita</w:t>
      </w:r>
      <w:proofErr w:type="spellEnd"/>
      <w:r w:rsidRPr="00194D84">
        <w:rPr>
          <w:rFonts w:ascii="Avenir Next LT Pro" w:eastAsia="MS Mincho" w:hAnsi="Avenir Next LT Pro" w:cs="Times New Roman"/>
          <w:sz w:val="23"/>
        </w:rPr>
        <w:t>. Dunque, nelle tre Unioni viene rispettata meno della metà degli impegni.</w:t>
      </w:r>
    </w:p>
    <w:p w14:paraId="3164D6E3" w14:textId="77777777" w:rsidR="00194D84" w:rsidRPr="00194D84" w:rsidRDefault="00194D84" w:rsidP="00194D84">
      <w:pPr>
        <w:keepNext/>
        <w:keepLines/>
        <w:spacing w:after="60" w:line="312" w:lineRule="auto"/>
        <w:jc w:val="both"/>
        <w:rPr>
          <w:rFonts w:ascii="Avenir Next LT Pro" w:eastAsia="MS Mincho" w:hAnsi="Avenir Next LT Pro" w:cs="Times New Roman"/>
          <w:smallCaps/>
          <w:kern w:val="24"/>
          <w:sz w:val="24"/>
          <w:szCs w:val="24"/>
        </w:rPr>
      </w:pPr>
    </w:p>
    <w:p w14:paraId="049489BA" w14:textId="77777777" w:rsidR="00194D84" w:rsidRPr="00194D84" w:rsidRDefault="00194D84" w:rsidP="00194D84">
      <w:pPr>
        <w:keepNext/>
        <w:spacing w:after="200" w:line="240" w:lineRule="auto"/>
        <w:jc w:val="both"/>
        <w:rPr>
          <w:rFonts w:ascii="Avenir Next LT Pro" w:eastAsia="MS Mincho" w:hAnsi="Avenir Next LT Pro" w:cs="Times New Roman"/>
          <w:i/>
          <w:iCs/>
          <w:color w:val="082A75"/>
          <w:sz w:val="23"/>
          <w:szCs w:val="23"/>
        </w:rPr>
      </w:pPr>
      <w:bookmarkStart w:id="7" w:name="_Toc93170918"/>
      <w:r w:rsidRPr="00194D84">
        <w:rPr>
          <w:rFonts w:ascii="Avenir Next LT Pro" w:eastAsia="MS Mincho" w:hAnsi="Avenir Next LT Pro" w:cs="Times New Roman"/>
          <w:i/>
          <w:iCs/>
          <w:color w:val="082A75"/>
          <w:sz w:val="23"/>
          <w:szCs w:val="23"/>
        </w:rPr>
        <w:t xml:space="preserve">Tabella </w:t>
      </w:r>
      <w:r w:rsidRPr="00194D84">
        <w:rPr>
          <w:rFonts w:ascii="Avenir Next LT Pro" w:eastAsia="MS Mincho" w:hAnsi="Avenir Next LT Pro" w:cs="Times New Roman"/>
          <w:i/>
          <w:iCs/>
          <w:color w:val="082A75"/>
          <w:sz w:val="23"/>
          <w:szCs w:val="23"/>
        </w:rPr>
        <w:fldChar w:fldCharType="begin"/>
      </w:r>
      <w:r w:rsidRPr="00194D84">
        <w:rPr>
          <w:rFonts w:ascii="Avenir Next LT Pro" w:eastAsia="MS Mincho" w:hAnsi="Avenir Next LT Pro" w:cs="Times New Roman"/>
          <w:i/>
          <w:iCs/>
          <w:color w:val="082A75"/>
          <w:sz w:val="23"/>
          <w:szCs w:val="23"/>
        </w:rPr>
        <w:instrText xml:space="preserve"> SEQ Tabella \* ARABIC </w:instrText>
      </w:r>
      <w:r w:rsidRPr="00194D84">
        <w:rPr>
          <w:rFonts w:ascii="Avenir Next LT Pro" w:eastAsia="MS Mincho" w:hAnsi="Avenir Next LT Pro" w:cs="Times New Roman"/>
          <w:i/>
          <w:iCs/>
          <w:color w:val="082A75"/>
          <w:sz w:val="23"/>
          <w:szCs w:val="23"/>
        </w:rPr>
        <w:fldChar w:fldCharType="separate"/>
      </w:r>
      <w:r w:rsidRPr="00194D84">
        <w:rPr>
          <w:rFonts w:ascii="Avenir Next LT Pro" w:eastAsia="MS Mincho" w:hAnsi="Avenir Next LT Pro" w:cs="Times New Roman"/>
          <w:i/>
          <w:iCs/>
          <w:noProof/>
          <w:color w:val="082A75"/>
          <w:sz w:val="23"/>
          <w:szCs w:val="23"/>
        </w:rPr>
        <w:t>13</w:t>
      </w:r>
      <w:r w:rsidRPr="00194D84">
        <w:rPr>
          <w:rFonts w:ascii="Avenir Next LT Pro" w:eastAsia="MS Mincho" w:hAnsi="Avenir Next LT Pro" w:cs="Times New Roman"/>
          <w:i/>
          <w:iCs/>
          <w:color w:val="082A75"/>
          <w:sz w:val="23"/>
          <w:szCs w:val="23"/>
        </w:rPr>
        <w:fldChar w:fldCharType="end"/>
      </w:r>
      <w:r w:rsidRPr="00194D84">
        <w:rPr>
          <w:rFonts w:ascii="Avenir Next LT Pro" w:eastAsia="MS Mincho" w:hAnsi="Avenir Next LT Pro" w:cs="Times New Roman"/>
          <w:i/>
          <w:iCs/>
          <w:color w:val="082A75"/>
          <w:sz w:val="23"/>
          <w:szCs w:val="23"/>
        </w:rPr>
        <w:t xml:space="preserve"> CAPACITÀ DI SPESA</w:t>
      </w:r>
      <w:bookmarkEnd w:id="7"/>
    </w:p>
    <w:tbl>
      <w:tblPr>
        <w:tblStyle w:val="Tabellagriglia4-colore21"/>
        <w:tblW w:w="6563" w:type="dxa"/>
        <w:jc w:val="center"/>
        <w:tblLook w:val="04A0" w:firstRow="1" w:lastRow="0" w:firstColumn="1" w:lastColumn="0" w:noHBand="0" w:noVBand="1"/>
      </w:tblPr>
      <w:tblGrid>
        <w:gridCol w:w="5323"/>
        <w:gridCol w:w="1240"/>
      </w:tblGrid>
      <w:tr w:rsidR="00194D84" w:rsidRPr="00194D84" w14:paraId="518D86D6" w14:textId="77777777" w:rsidTr="00194D84">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5323" w:type="dxa"/>
            <w:noWrap/>
            <w:vAlign w:val="center"/>
            <w:hideMark/>
          </w:tcPr>
          <w:p w14:paraId="51744E14" w14:textId="77777777" w:rsidR="00194D84" w:rsidRPr="00194D84" w:rsidRDefault="00194D84" w:rsidP="00194D84">
            <w:pPr>
              <w:jc w:val="center"/>
              <w:rPr>
                <w:rFonts w:ascii="Avenir Next LT Pro" w:eastAsia="Times New Roman" w:hAnsi="Avenir Next LT Pro" w:cs="Calibri"/>
                <w:lang w:eastAsia="it-IT"/>
              </w:rPr>
            </w:pPr>
            <w:r w:rsidRPr="00194D84">
              <w:rPr>
                <w:rFonts w:ascii="Avenir Next LT Pro" w:eastAsia="Times New Roman" w:hAnsi="Avenir Next LT Pro" w:cs="Calibri"/>
                <w:lang w:eastAsia="it-IT"/>
              </w:rPr>
              <w:t>Unione</w:t>
            </w:r>
          </w:p>
        </w:tc>
        <w:tc>
          <w:tcPr>
            <w:tcW w:w="1240" w:type="dxa"/>
            <w:noWrap/>
            <w:vAlign w:val="center"/>
            <w:hideMark/>
          </w:tcPr>
          <w:p w14:paraId="75E4473B" w14:textId="77777777" w:rsidR="00194D84" w:rsidRPr="00194D84" w:rsidRDefault="00194D84" w:rsidP="00194D84">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194D84">
              <w:rPr>
                <w:rFonts w:ascii="Avenir Next LT Pro" w:eastAsia="Times New Roman" w:hAnsi="Avenir Next LT Pro" w:cs="Calibri"/>
                <w:lang w:eastAsia="it-IT"/>
              </w:rPr>
              <w:t>%</w:t>
            </w:r>
          </w:p>
        </w:tc>
      </w:tr>
      <w:tr w:rsidR="00194D84" w:rsidRPr="00194D84" w14:paraId="7DC1858E"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D7AA8D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Riviera del Brenta</w:t>
            </w:r>
          </w:p>
        </w:tc>
        <w:tc>
          <w:tcPr>
            <w:tcW w:w="1240" w:type="dxa"/>
            <w:noWrap/>
            <w:hideMark/>
          </w:tcPr>
          <w:p w14:paraId="25AD206C"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93</w:t>
            </w:r>
          </w:p>
        </w:tc>
      </w:tr>
      <w:tr w:rsidR="00194D84" w:rsidRPr="00194D84" w14:paraId="3A68E0DC"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042D8CE1"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Valli Orco e Soana</w:t>
            </w:r>
          </w:p>
        </w:tc>
        <w:tc>
          <w:tcPr>
            <w:tcW w:w="1240" w:type="dxa"/>
            <w:noWrap/>
            <w:hideMark/>
          </w:tcPr>
          <w:p w14:paraId="6282439E"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89</w:t>
            </w:r>
          </w:p>
        </w:tc>
      </w:tr>
      <w:tr w:rsidR="00194D84" w:rsidRPr="00194D84" w14:paraId="638F31E3"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6487374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Terre e Fiumi</w:t>
            </w:r>
          </w:p>
        </w:tc>
        <w:tc>
          <w:tcPr>
            <w:tcW w:w="1240" w:type="dxa"/>
            <w:noWrap/>
            <w:hideMark/>
          </w:tcPr>
          <w:p w14:paraId="32618DF1"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86</w:t>
            </w:r>
          </w:p>
        </w:tc>
      </w:tr>
      <w:tr w:rsidR="00194D84" w:rsidRPr="00194D84" w14:paraId="7A29919B"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0779BB6B"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Garfagnana</w:t>
            </w:r>
          </w:p>
        </w:tc>
        <w:tc>
          <w:tcPr>
            <w:tcW w:w="1240" w:type="dxa"/>
            <w:noWrap/>
            <w:hideMark/>
          </w:tcPr>
          <w:p w14:paraId="6417A533"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85</w:t>
            </w:r>
          </w:p>
        </w:tc>
      </w:tr>
      <w:tr w:rsidR="00194D84" w:rsidRPr="00194D84" w14:paraId="2DB5E4F9"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27C3DFB8"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Caldogno, Costabissara, Isola Vicentina</w:t>
            </w:r>
          </w:p>
        </w:tc>
        <w:tc>
          <w:tcPr>
            <w:tcW w:w="1240" w:type="dxa"/>
            <w:noWrap/>
            <w:hideMark/>
          </w:tcPr>
          <w:p w14:paraId="206A6BCA"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82</w:t>
            </w:r>
          </w:p>
        </w:tc>
      </w:tr>
      <w:tr w:rsidR="00194D84" w:rsidRPr="00194D84" w14:paraId="46DD2662"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61DEDF6"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Fossanese</w:t>
            </w:r>
          </w:p>
        </w:tc>
        <w:tc>
          <w:tcPr>
            <w:tcW w:w="1240" w:type="dxa"/>
            <w:noWrap/>
            <w:hideMark/>
          </w:tcPr>
          <w:p w14:paraId="353ED77A"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81</w:t>
            </w:r>
          </w:p>
        </w:tc>
      </w:tr>
      <w:tr w:rsidR="00194D84" w:rsidRPr="00194D84" w14:paraId="7A7337C2"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2D1646E2"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Romagna Faentina</w:t>
            </w:r>
          </w:p>
        </w:tc>
        <w:tc>
          <w:tcPr>
            <w:tcW w:w="1240" w:type="dxa"/>
            <w:noWrap/>
            <w:hideMark/>
          </w:tcPr>
          <w:p w14:paraId="4AAA184E"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79</w:t>
            </w:r>
          </w:p>
        </w:tc>
      </w:tr>
      <w:tr w:rsidR="00194D84" w:rsidRPr="00194D84" w14:paraId="22CB022B"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12EFBFF"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 xml:space="preserve">C Terre </w:t>
            </w:r>
            <w:proofErr w:type="spellStart"/>
            <w:r w:rsidRPr="00194D84">
              <w:rPr>
                <w:rFonts w:ascii="Avenir Next LT Pro" w:eastAsia="Times New Roman" w:hAnsi="Avenir Next LT Pro" w:cs="Calibri"/>
                <w:color w:val="000000"/>
                <w:lang w:eastAsia="it-IT"/>
              </w:rPr>
              <w:t>Roveresche</w:t>
            </w:r>
            <w:proofErr w:type="spellEnd"/>
          </w:p>
        </w:tc>
        <w:tc>
          <w:tcPr>
            <w:tcW w:w="1240" w:type="dxa"/>
            <w:noWrap/>
            <w:hideMark/>
          </w:tcPr>
          <w:p w14:paraId="72863C7A"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77</w:t>
            </w:r>
          </w:p>
        </w:tc>
      </w:tr>
      <w:tr w:rsidR="00194D84" w:rsidRPr="00194D84" w14:paraId="13236453"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611EEA2F"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FC Camposampierese</w:t>
            </w:r>
          </w:p>
        </w:tc>
        <w:tc>
          <w:tcPr>
            <w:tcW w:w="1240" w:type="dxa"/>
            <w:noWrap/>
            <w:hideMark/>
          </w:tcPr>
          <w:p w14:paraId="7A0B009C"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75</w:t>
            </w:r>
          </w:p>
        </w:tc>
      </w:tr>
      <w:tr w:rsidR="00194D84" w:rsidRPr="00194D84" w14:paraId="3829F332"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4FCC7D2C"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Reno Galliera</w:t>
            </w:r>
          </w:p>
        </w:tc>
        <w:tc>
          <w:tcPr>
            <w:tcW w:w="1240" w:type="dxa"/>
            <w:noWrap/>
            <w:hideMark/>
          </w:tcPr>
          <w:p w14:paraId="72EAE396"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74</w:t>
            </w:r>
          </w:p>
        </w:tc>
      </w:tr>
      <w:tr w:rsidR="00194D84" w:rsidRPr="00194D84" w14:paraId="71C4B205"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C6388D3"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Marca Occidentale</w:t>
            </w:r>
          </w:p>
        </w:tc>
        <w:tc>
          <w:tcPr>
            <w:tcW w:w="1240" w:type="dxa"/>
            <w:noWrap/>
            <w:hideMark/>
          </w:tcPr>
          <w:p w14:paraId="5184E151"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73</w:t>
            </w:r>
          </w:p>
        </w:tc>
      </w:tr>
      <w:tr w:rsidR="00194D84" w:rsidRPr="00194D84" w14:paraId="0BCB88A1"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21EE629A"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Valmarecchia</w:t>
            </w:r>
          </w:p>
        </w:tc>
        <w:tc>
          <w:tcPr>
            <w:tcW w:w="1240" w:type="dxa"/>
            <w:noWrap/>
            <w:hideMark/>
          </w:tcPr>
          <w:p w14:paraId="5149804A"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71</w:t>
            </w:r>
          </w:p>
        </w:tc>
      </w:tr>
      <w:tr w:rsidR="00194D84" w:rsidRPr="00194D84" w14:paraId="31C9E7E6"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A4531A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Bassa Reggiana</w:t>
            </w:r>
          </w:p>
        </w:tc>
        <w:tc>
          <w:tcPr>
            <w:tcW w:w="1240" w:type="dxa"/>
            <w:noWrap/>
            <w:hideMark/>
          </w:tcPr>
          <w:p w14:paraId="6B8D963F"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70</w:t>
            </w:r>
          </w:p>
        </w:tc>
      </w:tr>
      <w:tr w:rsidR="00194D84" w:rsidRPr="00194D84" w14:paraId="67863579"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29D22385"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Valle del Savio</w:t>
            </w:r>
          </w:p>
        </w:tc>
        <w:tc>
          <w:tcPr>
            <w:tcW w:w="1240" w:type="dxa"/>
            <w:noWrap/>
            <w:hideMark/>
          </w:tcPr>
          <w:p w14:paraId="7DA96B4C"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69</w:t>
            </w:r>
          </w:p>
        </w:tc>
      </w:tr>
      <w:tr w:rsidR="00194D84" w:rsidRPr="00194D84" w14:paraId="34A5AF76"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22BE4E55"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Potenza Esino Musone</w:t>
            </w:r>
          </w:p>
        </w:tc>
        <w:tc>
          <w:tcPr>
            <w:tcW w:w="1240" w:type="dxa"/>
            <w:noWrap/>
            <w:hideMark/>
          </w:tcPr>
          <w:p w14:paraId="79CFD184"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68</w:t>
            </w:r>
          </w:p>
        </w:tc>
      </w:tr>
      <w:tr w:rsidR="00194D84" w:rsidRPr="00194D84" w14:paraId="76879FDC"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53491B1B"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Circondario Empolese  Valdelsa</w:t>
            </w:r>
          </w:p>
        </w:tc>
        <w:tc>
          <w:tcPr>
            <w:tcW w:w="1240" w:type="dxa"/>
            <w:noWrap/>
            <w:hideMark/>
          </w:tcPr>
          <w:p w14:paraId="36A1C176"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68</w:t>
            </w:r>
          </w:p>
        </w:tc>
      </w:tr>
      <w:tr w:rsidR="00194D84" w:rsidRPr="00194D84" w14:paraId="2F377052"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4C0CAC83"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 xml:space="preserve">Platani Quisquina </w:t>
            </w:r>
            <w:proofErr w:type="spellStart"/>
            <w:r w:rsidRPr="00194D84">
              <w:rPr>
                <w:rFonts w:ascii="Avenir Next LT Pro" w:eastAsia="Times New Roman" w:hAnsi="Avenir Next LT Pro" w:cs="Calibri"/>
                <w:color w:val="000000"/>
                <w:lang w:eastAsia="it-IT"/>
              </w:rPr>
              <w:t>Magazzolo</w:t>
            </w:r>
            <w:proofErr w:type="spellEnd"/>
          </w:p>
        </w:tc>
        <w:tc>
          <w:tcPr>
            <w:tcW w:w="1240" w:type="dxa"/>
            <w:noWrap/>
            <w:hideMark/>
          </w:tcPr>
          <w:p w14:paraId="1D430585"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65</w:t>
            </w:r>
          </w:p>
        </w:tc>
      </w:tr>
      <w:tr w:rsidR="00194D84" w:rsidRPr="00194D84" w14:paraId="486BBAE0"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7CDCCBAF"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Valdera</w:t>
            </w:r>
          </w:p>
        </w:tc>
        <w:tc>
          <w:tcPr>
            <w:tcW w:w="1240" w:type="dxa"/>
            <w:noWrap/>
            <w:hideMark/>
          </w:tcPr>
          <w:p w14:paraId="3D7EE6DF"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64</w:t>
            </w:r>
          </w:p>
        </w:tc>
      </w:tr>
      <w:tr w:rsidR="00194D84" w:rsidRPr="00194D84" w14:paraId="5F4C68F9"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67ECF04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Val Gallenca</w:t>
            </w:r>
          </w:p>
        </w:tc>
        <w:tc>
          <w:tcPr>
            <w:tcW w:w="1240" w:type="dxa"/>
            <w:noWrap/>
            <w:hideMark/>
          </w:tcPr>
          <w:p w14:paraId="07C9AF08"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60</w:t>
            </w:r>
          </w:p>
        </w:tc>
      </w:tr>
      <w:tr w:rsidR="00194D84" w:rsidRPr="00194D84" w14:paraId="42FD8E1C"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163F29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lastRenderedPageBreak/>
              <w:t>UC Montani Appennino Pistoiese</w:t>
            </w:r>
          </w:p>
        </w:tc>
        <w:tc>
          <w:tcPr>
            <w:tcW w:w="1240" w:type="dxa"/>
            <w:noWrap/>
            <w:hideMark/>
          </w:tcPr>
          <w:p w14:paraId="425E9EC4"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60</w:t>
            </w:r>
          </w:p>
        </w:tc>
      </w:tr>
      <w:tr w:rsidR="00194D84" w:rsidRPr="00194D84" w14:paraId="7A1420FD"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44197E6"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Valdichiana senese</w:t>
            </w:r>
          </w:p>
        </w:tc>
        <w:tc>
          <w:tcPr>
            <w:tcW w:w="1240" w:type="dxa"/>
            <w:noWrap/>
            <w:hideMark/>
          </w:tcPr>
          <w:p w14:paraId="336D1039"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56</w:t>
            </w:r>
          </w:p>
        </w:tc>
      </w:tr>
      <w:tr w:rsidR="00194D84" w:rsidRPr="00194D84" w14:paraId="0438BD5D"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71427248"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Taro e Ceno</w:t>
            </w:r>
          </w:p>
        </w:tc>
        <w:tc>
          <w:tcPr>
            <w:tcW w:w="1240" w:type="dxa"/>
            <w:noWrap/>
            <w:hideMark/>
          </w:tcPr>
          <w:p w14:paraId="1D273569"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51</w:t>
            </w:r>
          </w:p>
        </w:tc>
      </w:tr>
      <w:tr w:rsidR="00194D84" w:rsidRPr="00194D84" w14:paraId="6CFF292C"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0FC53F74"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 Vibrata</w:t>
            </w:r>
          </w:p>
        </w:tc>
        <w:tc>
          <w:tcPr>
            <w:tcW w:w="1240" w:type="dxa"/>
            <w:noWrap/>
            <w:hideMark/>
          </w:tcPr>
          <w:p w14:paraId="1D1FEE21"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43</w:t>
            </w:r>
          </w:p>
        </w:tc>
      </w:tr>
      <w:tr w:rsidR="00194D84" w:rsidRPr="00194D84" w14:paraId="5742F1E6"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3DB7E3D"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Terre dell’</w:t>
            </w:r>
            <w:proofErr w:type="spellStart"/>
            <w:r w:rsidRPr="00194D84">
              <w:rPr>
                <w:rFonts w:ascii="Avenir Next LT Pro" w:eastAsia="Times New Roman" w:hAnsi="Avenir Next LT Pro" w:cs="Calibri"/>
                <w:color w:val="000000"/>
                <w:lang w:eastAsia="it-IT"/>
              </w:rPr>
              <w:t>Ufita</w:t>
            </w:r>
            <w:proofErr w:type="spellEnd"/>
          </w:p>
        </w:tc>
        <w:tc>
          <w:tcPr>
            <w:tcW w:w="1240" w:type="dxa"/>
            <w:noWrap/>
            <w:hideMark/>
          </w:tcPr>
          <w:p w14:paraId="6686AA5F"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43</w:t>
            </w:r>
          </w:p>
        </w:tc>
      </w:tr>
      <w:tr w:rsidR="00194D84" w:rsidRPr="00194D84" w14:paraId="32569A81"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E46FA44"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Pian del Bruscolo</w:t>
            </w:r>
          </w:p>
        </w:tc>
        <w:tc>
          <w:tcPr>
            <w:tcW w:w="1240" w:type="dxa"/>
            <w:noWrap/>
            <w:hideMark/>
          </w:tcPr>
          <w:p w14:paraId="43FBEA41"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40</w:t>
            </w:r>
          </w:p>
        </w:tc>
      </w:tr>
      <w:tr w:rsidR="00194D84" w:rsidRPr="00194D84" w14:paraId="12893DB5"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F720701"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Valle del Belice</w:t>
            </w:r>
          </w:p>
        </w:tc>
        <w:tc>
          <w:tcPr>
            <w:tcW w:w="1240" w:type="dxa"/>
            <w:noWrap/>
            <w:hideMark/>
          </w:tcPr>
          <w:p w14:paraId="1483776D"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575CC6BC"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6110991"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Valle del Torbido</w:t>
            </w:r>
          </w:p>
        </w:tc>
        <w:tc>
          <w:tcPr>
            <w:tcW w:w="1240" w:type="dxa"/>
            <w:noWrap/>
            <w:hideMark/>
          </w:tcPr>
          <w:p w14:paraId="46A8DE16"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268550F9"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D4104D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UT Intercomunale Collio-Alto Isonzo</w:t>
            </w:r>
          </w:p>
        </w:tc>
        <w:tc>
          <w:tcPr>
            <w:tcW w:w="1240" w:type="dxa"/>
            <w:noWrap/>
            <w:hideMark/>
          </w:tcPr>
          <w:p w14:paraId="6263B78C"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09A5F58C" w14:textId="77777777" w:rsidTr="00194D84">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323" w:type="dxa"/>
            <w:noWrap/>
            <w:hideMark/>
          </w:tcPr>
          <w:p w14:paraId="6380358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Madonie</w:t>
            </w:r>
          </w:p>
        </w:tc>
        <w:tc>
          <w:tcPr>
            <w:tcW w:w="1240" w:type="dxa"/>
            <w:noWrap/>
            <w:hideMark/>
          </w:tcPr>
          <w:p w14:paraId="48914F8F"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bl>
    <w:p w14:paraId="3EC9B21C" w14:textId="77777777" w:rsidR="00194D84" w:rsidRPr="00194D84" w:rsidRDefault="00194D84" w:rsidP="00194D84">
      <w:pPr>
        <w:spacing w:before="120" w:after="200" w:line="276" w:lineRule="auto"/>
        <w:jc w:val="both"/>
        <w:rPr>
          <w:rFonts w:ascii="Avenir Next LT Pro" w:eastAsia="MS Mincho" w:hAnsi="Avenir Next LT Pro" w:cs="Times New Roman"/>
          <w:sz w:val="20"/>
          <w:szCs w:val="20"/>
        </w:rPr>
      </w:pPr>
      <w:r w:rsidRPr="00194D84">
        <w:rPr>
          <w:rFonts w:ascii="Avenir Next LT Pro" w:eastAsia="MS Mincho" w:hAnsi="Avenir Next LT Pro" w:cs="Times New Roman"/>
          <w:sz w:val="20"/>
          <w:szCs w:val="20"/>
        </w:rPr>
        <w:t>Fonte: rielaborazione su dati BDAP</w:t>
      </w:r>
    </w:p>
    <w:p w14:paraId="5AC2A321" w14:textId="77777777" w:rsidR="00194D84" w:rsidRPr="00194D84" w:rsidRDefault="00194D84" w:rsidP="00194D84">
      <w:pPr>
        <w:spacing w:after="240" w:line="240" w:lineRule="auto"/>
        <w:rPr>
          <w:rFonts w:ascii="Avenir Next LT Pro" w:eastAsia="MS Mincho" w:hAnsi="Avenir Next LT Pro" w:cs="Times New Roman"/>
          <w:bCs/>
          <w:sz w:val="23"/>
        </w:rPr>
      </w:pPr>
    </w:p>
    <w:p w14:paraId="77F90359" w14:textId="77777777" w:rsidR="00194D84" w:rsidRPr="00194D84" w:rsidRDefault="00194D84" w:rsidP="00194D84">
      <w:pPr>
        <w:spacing w:after="240" w:line="240" w:lineRule="auto"/>
        <w:rPr>
          <w:rFonts w:ascii="Avenir Next LT Pro" w:eastAsia="MS Mincho" w:hAnsi="Avenir Next LT Pro" w:cs="Times New Roman"/>
          <w:bCs/>
          <w:sz w:val="23"/>
        </w:rPr>
      </w:pPr>
    </w:p>
    <w:p w14:paraId="27026FC9" w14:textId="77777777" w:rsidR="00194D84" w:rsidRPr="00194D84" w:rsidRDefault="00194D84" w:rsidP="00194D84">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8" w:name="_Toc93168805"/>
      <w:r w:rsidRPr="00194D84">
        <w:rPr>
          <w:rFonts w:ascii="Avenir Next LT Pro" w:eastAsia="MS Gothic" w:hAnsi="Avenir Next LT Pro" w:cs="Times New Roman"/>
          <w:b/>
          <w:color w:val="256D9D"/>
          <w:sz w:val="24"/>
          <w:szCs w:val="24"/>
        </w:rPr>
        <w:t>Rigidità di spesa</w:t>
      </w:r>
      <w:bookmarkEnd w:id="8"/>
    </w:p>
    <w:p w14:paraId="23872EA3"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La rigidità della spesa rappresenta il livello di spesa che l’ente destina al personale e al rimborso dei prestiti: se molto elevato, limita le capacità di autonomia politico-amministrativa dell’ente stesso.</w:t>
      </w:r>
    </w:p>
    <w:p w14:paraId="1414FB09"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La minore rigidità di spesa, inferiore all’11%, si riscontra in tre diverse aree geografiche: al Sud con Val Vibrata, al Centro con Pian del Bruscolo e al Nord con Valli Orco e Soana. Si tratta di risultati riconducibili alle ridotte dimensioni degli enti in termini di dipendenti e, quindi, con poche spese per il personale. Lo stesso si può dire parzialmente anche per l’Unione Val Vibrata, con 21 dipendenti.</w:t>
      </w:r>
    </w:p>
    <w:p w14:paraId="03EF3741"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Al contrario, a mostrare un’alta rigidità di spesa sono una Unione del Nord (Caldogno, Costabissara Isola Vicentina) e una del Sud (Platani Quisquina </w:t>
      </w:r>
      <w:proofErr w:type="spellStart"/>
      <w:r w:rsidRPr="00194D84">
        <w:rPr>
          <w:rFonts w:ascii="Avenir Next LT Pro" w:eastAsia="MS Mincho" w:hAnsi="Avenir Next LT Pro" w:cs="Times New Roman"/>
          <w:sz w:val="23"/>
        </w:rPr>
        <w:t>Magazzolo</w:t>
      </w:r>
      <w:proofErr w:type="spellEnd"/>
      <w:r w:rsidRPr="00194D84">
        <w:rPr>
          <w:rFonts w:ascii="Avenir Next LT Pro" w:eastAsia="MS Mincho" w:hAnsi="Avenir Next LT Pro" w:cs="Times New Roman"/>
          <w:sz w:val="23"/>
        </w:rPr>
        <w:t xml:space="preserve">), entrambe con oltre il 70% di rigidità. </w:t>
      </w:r>
    </w:p>
    <w:p w14:paraId="0B2767D2" w14:textId="77777777" w:rsidR="00194D84" w:rsidRPr="00194D84" w:rsidRDefault="00194D84" w:rsidP="00194D84">
      <w:pPr>
        <w:spacing w:after="240" w:line="240" w:lineRule="auto"/>
        <w:jc w:val="both"/>
        <w:rPr>
          <w:rFonts w:ascii="Avenir Next LT Pro" w:eastAsia="MS Mincho" w:hAnsi="Avenir Next LT Pro" w:cs="Times New Roman"/>
          <w:bCs/>
          <w:sz w:val="23"/>
        </w:rPr>
      </w:pPr>
    </w:p>
    <w:p w14:paraId="01C6A767" w14:textId="77777777" w:rsidR="00194D84" w:rsidRPr="00194D84" w:rsidRDefault="00194D84" w:rsidP="00194D84">
      <w:pPr>
        <w:keepNext/>
        <w:spacing w:after="200" w:line="240" w:lineRule="auto"/>
        <w:jc w:val="both"/>
        <w:rPr>
          <w:rFonts w:ascii="Avenir Next LT Pro" w:eastAsia="MS Mincho" w:hAnsi="Avenir Next LT Pro" w:cs="Times New Roman"/>
          <w:i/>
          <w:iCs/>
          <w:color w:val="082A75"/>
          <w:sz w:val="23"/>
          <w:szCs w:val="23"/>
        </w:rPr>
      </w:pPr>
      <w:bookmarkStart w:id="9" w:name="_Toc93171061"/>
      <w:r w:rsidRPr="00194D84">
        <w:rPr>
          <w:rFonts w:ascii="Avenir Next LT Pro" w:eastAsia="MS Mincho" w:hAnsi="Avenir Next LT Pro" w:cs="Times New Roman"/>
          <w:i/>
          <w:iCs/>
          <w:color w:val="082A75"/>
          <w:sz w:val="23"/>
          <w:szCs w:val="23"/>
        </w:rPr>
        <w:lastRenderedPageBreak/>
        <w:t xml:space="preserve">Figura </w:t>
      </w:r>
      <w:r w:rsidRPr="00194D84">
        <w:rPr>
          <w:rFonts w:ascii="Avenir Next LT Pro" w:eastAsia="MS Mincho" w:hAnsi="Avenir Next LT Pro" w:cs="Times New Roman"/>
          <w:i/>
          <w:iCs/>
          <w:color w:val="082A75"/>
          <w:sz w:val="23"/>
          <w:szCs w:val="23"/>
        </w:rPr>
        <w:fldChar w:fldCharType="begin"/>
      </w:r>
      <w:r w:rsidRPr="00194D84">
        <w:rPr>
          <w:rFonts w:ascii="Avenir Next LT Pro" w:eastAsia="MS Mincho" w:hAnsi="Avenir Next LT Pro" w:cs="Times New Roman"/>
          <w:i/>
          <w:iCs/>
          <w:color w:val="082A75"/>
          <w:sz w:val="23"/>
          <w:szCs w:val="23"/>
        </w:rPr>
        <w:instrText xml:space="preserve"> SEQ Figura \* ARABIC </w:instrText>
      </w:r>
      <w:r w:rsidRPr="00194D84">
        <w:rPr>
          <w:rFonts w:ascii="Avenir Next LT Pro" w:eastAsia="MS Mincho" w:hAnsi="Avenir Next LT Pro" w:cs="Times New Roman"/>
          <w:i/>
          <w:iCs/>
          <w:color w:val="082A75"/>
          <w:sz w:val="23"/>
          <w:szCs w:val="23"/>
        </w:rPr>
        <w:fldChar w:fldCharType="separate"/>
      </w:r>
      <w:r w:rsidRPr="00194D84">
        <w:rPr>
          <w:rFonts w:ascii="Avenir Next LT Pro" w:eastAsia="MS Mincho" w:hAnsi="Avenir Next LT Pro" w:cs="Times New Roman"/>
          <w:i/>
          <w:iCs/>
          <w:noProof/>
          <w:color w:val="082A75"/>
          <w:sz w:val="23"/>
          <w:szCs w:val="23"/>
        </w:rPr>
        <w:t>7</w:t>
      </w:r>
      <w:r w:rsidRPr="00194D84">
        <w:rPr>
          <w:rFonts w:ascii="Avenir Next LT Pro" w:eastAsia="MS Mincho" w:hAnsi="Avenir Next LT Pro" w:cs="Times New Roman"/>
          <w:i/>
          <w:iCs/>
          <w:color w:val="082A75"/>
          <w:sz w:val="23"/>
          <w:szCs w:val="23"/>
        </w:rPr>
        <w:fldChar w:fldCharType="end"/>
      </w:r>
      <w:r w:rsidRPr="00194D84">
        <w:rPr>
          <w:rFonts w:ascii="Avenir Next LT Pro" w:eastAsia="MS Mincho" w:hAnsi="Avenir Next LT Pro" w:cs="Times New Roman"/>
          <w:i/>
          <w:iCs/>
          <w:color w:val="082A75"/>
          <w:sz w:val="23"/>
          <w:szCs w:val="23"/>
        </w:rPr>
        <w:t xml:space="preserve"> RIGIDITÀ DI SPESA (%)</w:t>
      </w:r>
      <w:bookmarkEnd w:id="9"/>
    </w:p>
    <w:p w14:paraId="3D10D22A" w14:textId="77777777" w:rsidR="00194D84" w:rsidRPr="00194D84" w:rsidRDefault="00194D84" w:rsidP="00194D84">
      <w:pPr>
        <w:keepNext/>
        <w:keepLines/>
        <w:spacing w:after="60" w:line="312" w:lineRule="auto"/>
        <w:jc w:val="both"/>
        <w:rPr>
          <w:rFonts w:ascii="Avenir Next LT Pro" w:eastAsia="MS Mincho" w:hAnsi="Avenir Next LT Pro" w:cs="Times New Roman"/>
          <w:bCs/>
          <w:sz w:val="20"/>
          <w:szCs w:val="20"/>
        </w:rPr>
      </w:pPr>
      <w:r w:rsidRPr="00194D84">
        <w:rPr>
          <w:rFonts w:ascii="Avenir Next LT Pro" w:eastAsia="MS Mincho" w:hAnsi="Avenir Next LT Pro" w:cs="Times New Roman"/>
          <w:noProof/>
          <w:sz w:val="23"/>
        </w:rPr>
        <w:drawing>
          <wp:inline distT="0" distB="0" distL="0" distR="0" wp14:anchorId="7F6C4541" wp14:editId="77A9B9AF">
            <wp:extent cx="6159500" cy="5593080"/>
            <wp:effectExtent l="0" t="0" r="0" b="7620"/>
            <wp:docPr id="52" name="Grafico 52">
              <a:extLst xmlns:a="http://schemas.openxmlformats.org/drawingml/2006/main">
                <a:ext uri="{FF2B5EF4-FFF2-40B4-BE49-F238E27FC236}">
                  <a16:creationId xmlns:a16="http://schemas.microsoft.com/office/drawing/2014/main" id="{A29DA50B-540C-446F-BCC4-6C77E4898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5B747E" w14:textId="77777777" w:rsidR="00194D84" w:rsidRPr="00194D84" w:rsidRDefault="00194D84" w:rsidP="00194D84">
      <w:pPr>
        <w:spacing w:after="200" w:line="276" w:lineRule="auto"/>
        <w:jc w:val="both"/>
        <w:rPr>
          <w:rFonts w:ascii="Avenir Next LT Pro" w:eastAsia="MS Mincho" w:hAnsi="Avenir Next LT Pro" w:cs="Times New Roman"/>
          <w:sz w:val="20"/>
          <w:szCs w:val="20"/>
        </w:rPr>
      </w:pPr>
      <w:r w:rsidRPr="00194D84">
        <w:rPr>
          <w:rFonts w:ascii="Avenir Next LT Pro" w:eastAsia="MS Mincho" w:hAnsi="Avenir Next LT Pro" w:cs="Times New Roman"/>
          <w:sz w:val="20"/>
          <w:szCs w:val="20"/>
        </w:rPr>
        <w:t>Fonte: rielaborazione su dati BDAP</w:t>
      </w:r>
    </w:p>
    <w:p w14:paraId="5490F172" w14:textId="77777777" w:rsidR="00194D84" w:rsidRPr="00194D84" w:rsidRDefault="00194D84" w:rsidP="00194D84">
      <w:pPr>
        <w:spacing w:after="240" w:line="240" w:lineRule="auto"/>
        <w:rPr>
          <w:rFonts w:ascii="Avenir Next LT Pro" w:eastAsia="MS Mincho" w:hAnsi="Avenir Next LT Pro" w:cs="Times New Roman"/>
          <w:bCs/>
          <w:sz w:val="23"/>
        </w:rPr>
      </w:pPr>
    </w:p>
    <w:p w14:paraId="578B7CED" w14:textId="77777777" w:rsidR="00194D84" w:rsidRPr="00194D84" w:rsidRDefault="00194D84" w:rsidP="00194D84">
      <w:pPr>
        <w:spacing w:after="240" w:line="240" w:lineRule="auto"/>
        <w:rPr>
          <w:rFonts w:ascii="Avenir Next LT Pro" w:eastAsia="MS Mincho" w:hAnsi="Avenir Next LT Pro" w:cs="Times New Roman"/>
          <w:bCs/>
          <w:sz w:val="23"/>
        </w:rPr>
      </w:pPr>
    </w:p>
    <w:p w14:paraId="1D447A20" w14:textId="77777777" w:rsidR="00194D84" w:rsidRPr="00194D84" w:rsidRDefault="00194D84" w:rsidP="00194D84">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10" w:name="_Toc93168806"/>
      <w:r w:rsidRPr="00194D84">
        <w:rPr>
          <w:rFonts w:ascii="Avenir Next LT Pro" w:eastAsia="MS Gothic" w:hAnsi="Avenir Next LT Pro" w:cs="Times New Roman"/>
          <w:b/>
          <w:color w:val="256D9D"/>
          <w:sz w:val="24"/>
          <w:szCs w:val="24"/>
        </w:rPr>
        <w:t>Debito pro-capite</w:t>
      </w:r>
      <w:bookmarkEnd w:id="10"/>
    </w:p>
    <w:p w14:paraId="670DD1EC"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Il debito pro-capite indica il livello di indebitamento finanziario pro-capite di un ente: può rappresentare un indicatore di forte preoccupazione per la sua gestione futura.</w:t>
      </w:r>
    </w:p>
    <w:p w14:paraId="183B42B3"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Il primo dato che emerge dall’analisi del campione è positivo: undici Unioni non presentano debiti finanziari, ottenendo lo score massimo. Tra esse, anche la veneta Camposampierese, la toscana Garfagnana e l’abruzzese Val Vibrata.</w:t>
      </w:r>
    </w:p>
    <w:p w14:paraId="347A7916"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Al contrario, il livello di indebitamento più rilevante supera i 1.100 euro pro-capite e appartiene al Comune Terre </w:t>
      </w:r>
      <w:proofErr w:type="spellStart"/>
      <w:r w:rsidRPr="00194D84">
        <w:rPr>
          <w:rFonts w:ascii="Avenir Next LT Pro" w:eastAsia="MS Mincho" w:hAnsi="Avenir Next LT Pro" w:cs="Times New Roman"/>
          <w:sz w:val="23"/>
        </w:rPr>
        <w:t>Roveresche</w:t>
      </w:r>
      <w:proofErr w:type="spellEnd"/>
      <w:r w:rsidRPr="00194D84">
        <w:rPr>
          <w:rFonts w:ascii="Avenir Next LT Pro" w:eastAsia="MS Mincho" w:hAnsi="Avenir Next LT Pro" w:cs="Times New Roman"/>
          <w:sz w:val="23"/>
        </w:rPr>
        <w:t xml:space="preserve">, nelle Marche. Lo seguono a grande distanza </w:t>
      </w:r>
      <w:r w:rsidRPr="00194D84">
        <w:rPr>
          <w:rFonts w:ascii="Avenir Next LT Pro" w:eastAsia="MS Mincho" w:hAnsi="Avenir Next LT Pro" w:cs="Times New Roman"/>
          <w:sz w:val="23"/>
        </w:rPr>
        <w:lastRenderedPageBreak/>
        <w:t>l’Unione Valdera, in Toscana, con 72 euro p.c., e l’Unione Montana Potenza Esino Musone, ancora nelle Marche, con 45 euro p.c.</w:t>
      </w:r>
    </w:p>
    <w:p w14:paraId="59841356" w14:textId="77777777" w:rsidR="00194D84" w:rsidRPr="00194D84" w:rsidRDefault="00194D84" w:rsidP="00194D84">
      <w:pPr>
        <w:spacing w:after="240" w:line="240" w:lineRule="auto"/>
        <w:rPr>
          <w:rFonts w:ascii="Avenir Next LT Pro" w:eastAsia="MS Mincho" w:hAnsi="Avenir Next LT Pro" w:cs="Times New Roman"/>
          <w:bCs/>
          <w:sz w:val="23"/>
        </w:rPr>
      </w:pPr>
    </w:p>
    <w:p w14:paraId="3AE6BBFC" w14:textId="77777777" w:rsidR="00194D84" w:rsidRPr="00194D84" w:rsidRDefault="00194D84" w:rsidP="00194D84">
      <w:pPr>
        <w:keepNext/>
        <w:spacing w:after="200" w:line="240" w:lineRule="auto"/>
        <w:jc w:val="both"/>
        <w:rPr>
          <w:rFonts w:ascii="Avenir Next LT Pro" w:eastAsia="MS Mincho" w:hAnsi="Avenir Next LT Pro" w:cs="Times New Roman"/>
          <w:i/>
          <w:iCs/>
          <w:color w:val="082A75"/>
          <w:sz w:val="23"/>
          <w:szCs w:val="23"/>
        </w:rPr>
      </w:pPr>
      <w:bookmarkStart w:id="11" w:name="_Toc93170919"/>
      <w:r w:rsidRPr="00194D84">
        <w:rPr>
          <w:rFonts w:ascii="Avenir Next LT Pro" w:eastAsia="MS Mincho" w:hAnsi="Avenir Next LT Pro" w:cs="Times New Roman"/>
          <w:i/>
          <w:iCs/>
          <w:color w:val="082A75"/>
          <w:sz w:val="23"/>
          <w:szCs w:val="23"/>
        </w:rPr>
        <w:t xml:space="preserve">Tabella </w:t>
      </w:r>
      <w:r w:rsidRPr="00194D84">
        <w:rPr>
          <w:rFonts w:ascii="Avenir Next LT Pro" w:eastAsia="MS Mincho" w:hAnsi="Avenir Next LT Pro" w:cs="Times New Roman"/>
          <w:i/>
          <w:iCs/>
          <w:color w:val="082A75"/>
          <w:sz w:val="23"/>
          <w:szCs w:val="23"/>
        </w:rPr>
        <w:fldChar w:fldCharType="begin"/>
      </w:r>
      <w:r w:rsidRPr="00194D84">
        <w:rPr>
          <w:rFonts w:ascii="Avenir Next LT Pro" w:eastAsia="MS Mincho" w:hAnsi="Avenir Next LT Pro" w:cs="Times New Roman"/>
          <w:i/>
          <w:iCs/>
          <w:color w:val="082A75"/>
          <w:sz w:val="23"/>
          <w:szCs w:val="23"/>
        </w:rPr>
        <w:instrText xml:space="preserve"> SEQ Tabella \* ARABIC </w:instrText>
      </w:r>
      <w:r w:rsidRPr="00194D84">
        <w:rPr>
          <w:rFonts w:ascii="Avenir Next LT Pro" w:eastAsia="MS Mincho" w:hAnsi="Avenir Next LT Pro" w:cs="Times New Roman"/>
          <w:i/>
          <w:iCs/>
          <w:color w:val="082A75"/>
          <w:sz w:val="23"/>
          <w:szCs w:val="23"/>
        </w:rPr>
        <w:fldChar w:fldCharType="separate"/>
      </w:r>
      <w:r w:rsidRPr="00194D84">
        <w:rPr>
          <w:rFonts w:ascii="Avenir Next LT Pro" w:eastAsia="MS Mincho" w:hAnsi="Avenir Next LT Pro" w:cs="Times New Roman"/>
          <w:i/>
          <w:iCs/>
          <w:noProof/>
          <w:color w:val="082A75"/>
          <w:sz w:val="23"/>
          <w:szCs w:val="23"/>
        </w:rPr>
        <w:t>14</w:t>
      </w:r>
      <w:r w:rsidRPr="00194D84">
        <w:rPr>
          <w:rFonts w:ascii="Avenir Next LT Pro" w:eastAsia="MS Mincho" w:hAnsi="Avenir Next LT Pro" w:cs="Times New Roman"/>
          <w:i/>
          <w:iCs/>
          <w:color w:val="082A75"/>
          <w:sz w:val="23"/>
          <w:szCs w:val="23"/>
        </w:rPr>
        <w:fldChar w:fldCharType="end"/>
      </w:r>
      <w:r w:rsidRPr="00194D84">
        <w:rPr>
          <w:rFonts w:ascii="Avenir Next LT Pro" w:eastAsia="MS Mincho" w:hAnsi="Avenir Next LT Pro" w:cs="Times New Roman"/>
          <w:i/>
          <w:iCs/>
          <w:color w:val="082A75"/>
          <w:sz w:val="23"/>
          <w:szCs w:val="23"/>
        </w:rPr>
        <w:t xml:space="preserve"> DEBITO PRO-CAPITE</w:t>
      </w:r>
      <w:bookmarkEnd w:id="11"/>
    </w:p>
    <w:tbl>
      <w:tblPr>
        <w:tblStyle w:val="Tabellagriglia4-colore21"/>
        <w:tblW w:w="6563" w:type="dxa"/>
        <w:tblLook w:val="04A0" w:firstRow="1" w:lastRow="0" w:firstColumn="1" w:lastColumn="0" w:noHBand="0" w:noVBand="1"/>
      </w:tblPr>
      <w:tblGrid>
        <w:gridCol w:w="5323"/>
        <w:gridCol w:w="1240"/>
      </w:tblGrid>
      <w:tr w:rsidR="00194D84" w:rsidRPr="00194D84" w14:paraId="0245C8B2" w14:textId="77777777" w:rsidTr="00194D84">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5323" w:type="dxa"/>
            <w:noWrap/>
            <w:vAlign w:val="center"/>
            <w:hideMark/>
          </w:tcPr>
          <w:p w14:paraId="40C6820C" w14:textId="77777777" w:rsidR="00194D84" w:rsidRPr="00194D84" w:rsidRDefault="00194D84" w:rsidP="00194D84">
            <w:pPr>
              <w:jc w:val="center"/>
              <w:rPr>
                <w:rFonts w:ascii="Avenir Next LT Pro" w:eastAsia="Times New Roman" w:hAnsi="Avenir Next LT Pro" w:cs="Calibri"/>
                <w:lang w:eastAsia="it-IT"/>
              </w:rPr>
            </w:pPr>
            <w:r w:rsidRPr="00194D84">
              <w:rPr>
                <w:rFonts w:ascii="Avenir Next LT Pro" w:eastAsia="Times New Roman" w:hAnsi="Avenir Next LT Pro" w:cs="Calibri"/>
                <w:lang w:eastAsia="it-IT"/>
              </w:rPr>
              <w:t>Unione</w:t>
            </w:r>
          </w:p>
        </w:tc>
        <w:tc>
          <w:tcPr>
            <w:tcW w:w="1240" w:type="dxa"/>
            <w:noWrap/>
            <w:vAlign w:val="center"/>
            <w:hideMark/>
          </w:tcPr>
          <w:p w14:paraId="1A77D57C" w14:textId="77777777" w:rsidR="00194D84" w:rsidRPr="00194D84" w:rsidRDefault="00194D84" w:rsidP="00194D84">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194D84">
              <w:rPr>
                <w:rFonts w:ascii="Avenir Next LT Pro" w:eastAsia="Times New Roman" w:hAnsi="Avenir Next LT Pro" w:cs="Calibri"/>
                <w:lang w:eastAsia="it-IT"/>
              </w:rPr>
              <w:t>Euro</w:t>
            </w:r>
          </w:p>
        </w:tc>
      </w:tr>
      <w:tr w:rsidR="00194D84" w:rsidRPr="00194D84" w14:paraId="2B6EA693"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4A31158D"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 xml:space="preserve">C Terre </w:t>
            </w:r>
            <w:proofErr w:type="spellStart"/>
            <w:r w:rsidRPr="00194D84">
              <w:rPr>
                <w:rFonts w:ascii="Avenir Next LT Pro" w:eastAsia="Times New Roman" w:hAnsi="Avenir Next LT Pro" w:cs="Calibri"/>
                <w:color w:val="000000"/>
                <w:lang w:eastAsia="it-IT"/>
              </w:rPr>
              <w:t>Roveresche</w:t>
            </w:r>
            <w:proofErr w:type="spellEnd"/>
          </w:p>
        </w:tc>
        <w:tc>
          <w:tcPr>
            <w:tcW w:w="1240" w:type="dxa"/>
            <w:noWrap/>
            <w:hideMark/>
          </w:tcPr>
          <w:p w14:paraId="5814A79A"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1.173</w:t>
            </w:r>
          </w:p>
        </w:tc>
      </w:tr>
      <w:tr w:rsidR="00194D84" w:rsidRPr="00194D84" w14:paraId="4F37E4D6"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4EF910E5"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Valdera</w:t>
            </w:r>
          </w:p>
        </w:tc>
        <w:tc>
          <w:tcPr>
            <w:tcW w:w="1240" w:type="dxa"/>
            <w:noWrap/>
            <w:hideMark/>
          </w:tcPr>
          <w:p w14:paraId="440A0393"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72</w:t>
            </w:r>
          </w:p>
        </w:tc>
      </w:tr>
      <w:tr w:rsidR="00194D84" w:rsidRPr="00194D84" w14:paraId="491A604B"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2E52B5B1"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Potenza Esino Musone</w:t>
            </w:r>
          </w:p>
        </w:tc>
        <w:tc>
          <w:tcPr>
            <w:tcW w:w="1240" w:type="dxa"/>
            <w:noWrap/>
            <w:hideMark/>
          </w:tcPr>
          <w:p w14:paraId="361119DF"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45</w:t>
            </w:r>
          </w:p>
        </w:tc>
      </w:tr>
      <w:tr w:rsidR="00194D84" w:rsidRPr="00194D84" w14:paraId="3C343E4C"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3ED06C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Pian del Bruscolo</w:t>
            </w:r>
          </w:p>
        </w:tc>
        <w:tc>
          <w:tcPr>
            <w:tcW w:w="1240" w:type="dxa"/>
            <w:noWrap/>
            <w:hideMark/>
          </w:tcPr>
          <w:p w14:paraId="07289DA4"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18</w:t>
            </w:r>
          </w:p>
        </w:tc>
      </w:tr>
      <w:tr w:rsidR="00194D84" w:rsidRPr="00194D84" w14:paraId="77A17BD1"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B46B96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Bassa Reggiana</w:t>
            </w:r>
          </w:p>
        </w:tc>
        <w:tc>
          <w:tcPr>
            <w:tcW w:w="1240" w:type="dxa"/>
            <w:noWrap/>
            <w:hideMark/>
          </w:tcPr>
          <w:p w14:paraId="2343B5C8"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18</w:t>
            </w:r>
          </w:p>
        </w:tc>
      </w:tr>
      <w:tr w:rsidR="00194D84" w:rsidRPr="00194D84" w14:paraId="5B1014BF"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0917E9A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Montani Appennino Pistoiese</w:t>
            </w:r>
          </w:p>
        </w:tc>
        <w:tc>
          <w:tcPr>
            <w:tcW w:w="1240" w:type="dxa"/>
            <w:noWrap/>
            <w:hideMark/>
          </w:tcPr>
          <w:p w14:paraId="756C6949"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14</w:t>
            </w:r>
          </w:p>
        </w:tc>
      </w:tr>
      <w:tr w:rsidR="00194D84" w:rsidRPr="00194D84" w14:paraId="739DF15B"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2F8CDB7"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Valdichiana senese</w:t>
            </w:r>
          </w:p>
        </w:tc>
        <w:tc>
          <w:tcPr>
            <w:tcW w:w="1240" w:type="dxa"/>
            <w:noWrap/>
            <w:hideMark/>
          </w:tcPr>
          <w:p w14:paraId="6DF88F4A"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14</w:t>
            </w:r>
          </w:p>
        </w:tc>
      </w:tr>
      <w:tr w:rsidR="00194D84" w:rsidRPr="00194D84" w14:paraId="163084E2"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0D412A6B"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Valli Orco e Soana</w:t>
            </w:r>
          </w:p>
        </w:tc>
        <w:tc>
          <w:tcPr>
            <w:tcW w:w="1240" w:type="dxa"/>
            <w:noWrap/>
            <w:hideMark/>
          </w:tcPr>
          <w:p w14:paraId="1805162D"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12</w:t>
            </w:r>
          </w:p>
        </w:tc>
      </w:tr>
      <w:tr w:rsidR="00194D84" w:rsidRPr="00194D84" w14:paraId="4A294BB3"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5E667EFB"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Valle del Savio</w:t>
            </w:r>
          </w:p>
        </w:tc>
        <w:tc>
          <w:tcPr>
            <w:tcW w:w="1240" w:type="dxa"/>
            <w:noWrap/>
            <w:hideMark/>
          </w:tcPr>
          <w:p w14:paraId="1D225BD2"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11</w:t>
            </w:r>
          </w:p>
        </w:tc>
      </w:tr>
      <w:tr w:rsidR="00194D84" w:rsidRPr="00194D84" w14:paraId="07CF4F42"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2D49E5A6"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Reno Galliera</w:t>
            </w:r>
          </w:p>
        </w:tc>
        <w:tc>
          <w:tcPr>
            <w:tcW w:w="1240" w:type="dxa"/>
            <w:noWrap/>
            <w:hideMark/>
          </w:tcPr>
          <w:p w14:paraId="06FBE00F"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w:t>
            </w:r>
          </w:p>
        </w:tc>
      </w:tr>
      <w:tr w:rsidR="00194D84" w:rsidRPr="00194D84" w14:paraId="49BEA84B"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720461B"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Caldogno, Costabissara, Isola Vicentina</w:t>
            </w:r>
          </w:p>
        </w:tc>
        <w:tc>
          <w:tcPr>
            <w:tcW w:w="1240" w:type="dxa"/>
            <w:noWrap/>
            <w:hideMark/>
          </w:tcPr>
          <w:p w14:paraId="6C2E5D50"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8</w:t>
            </w:r>
          </w:p>
        </w:tc>
      </w:tr>
      <w:tr w:rsidR="00194D84" w:rsidRPr="00194D84" w14:paraId="32E153B7"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24B242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Fossanese</w:t>
            </w:r>
          </w:p>
        </w:tc>
        <w:tc>
          <w:tcPr>
            <w:tcW w:w="1240" w:type="dxa"/>
            <w:noWrap/>
            <w:hideMark/>
          </w:tcPr>
          <w:p w14:paraId="07B7D7E0"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w:t>
            </w:r>
          </w:p>
        </w:tc>
      </w:tr>
      <w:tr w:rsidR="00194D84" w:rsidRPr="00194D84" w14:paraId="09D9AA03"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095554D2"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Romagna Faentina</w:t>
            </w:r>
          </w:p>
        </w:tc>
        <w:tc>
          <w:tcPr>
            <w:tcW w:w="1240" w:type="dxa"/>
            <w:noWrap/>
            <w:hideMark/>
          </w:tcPr>
          <w:p w14:paraId="29A3BEC1"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w:t>
            </w:r>
          </w:p>
        </w:tc>
      </w:tr>
      <w:tr w:rsidR="00194D84" w:rsidRPr="00194D84" w14:paraId="62D6EB83"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7E5BFBE5"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 xml:space="preserve">Platani Quisquina </w:t>
            </w:r>
            <w:proofErr w:type="spellStart"/>
            <w:r w:rsidRPr="00194D84">
              <w:rPr>
                <w:rFonts w:ascii="Avenir Next LT Pro" w:eastAsia="Times New Roman" w:hAnsi="Avenir Next LT Pro" w:cs="Calibri"/>
                <w:color w:val="000000"/>
                <w:lang w:eastAsia="it-IT"/>
              </w:rPr>
              <w:t>Magazzolo</w:t>
            </w:r>
            <w:proofErr w:type="spellEnd"/>
          </w:p>
        </w:tc>
        <w:tc>
          <w:tcPr>
            <w:tcW w:w="1240" w:type="dxa"/>
            <w:noWrap/>
            <w:hideMark/>
          </w:tcPr>
          <w:p w14:paraId="29DB72FC"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w:t>
            </w:r>
          </w:p>
        </w:tc>
      </w:tr>
      <w:tr w:rsidR="00194D84" w:rsidRPr="00194D84" w14:paraId="31DA2D1B"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6A15E2B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 Vibrata</w:t>
            </w:r>
          </w:p>
        </w:tc>
        <w:tc>
          <w:tcPr>
            <w:tcW w:w="1240" w:type="dxa"/>
            <w:noWrap/>
            <w:hideMark/>
          </w:tcPr>
          <w:p w14:paraId="64A89147"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691AF774"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A013642"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Terre dell’</w:t>
            </w:r>
            <w:proofErr w:type="spellStart"/>
            <w:r w:rsidRPr="00194D84">
              <w:rPr>
                <w:rFonts w:ascii="Avenir Next LT Pro" w:eastAsia="Times New Roman" w:hAnsi="Avenir Next LT Pro" w:cs="Calibri"/>
                <w:color w:val="000000"/>
                <w:lang w:eastAsia="it-IT"/>
              </w:rPr>
              <w:t>Ufita</w:t>
            </w:r>
            <w:proofErr w:type="spellEnd"/>
          </w:p>
        </w:tc>
        <w:tc>
          <w:tcPr>
            <w:tcW w:w="1240" w:type="dxa"/>
            <w:noWrap/>
            <w:hideMark/>
          </w:tcPr>
          <w:p w14:paraId="3B8B4676"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689B9729"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4A940E22"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Val Gallenca</w:t>
            </w:r>
          </w:p>
        </w:tc>
        <w:tc>
          <w:tcPr>
            <w:tcW w:w="1240" w:type="dxa"/>
            <w:noWrap/>
            <w:hideMark/>
          </w:tcPr>
          <w:p w14:paraId="2CEF04E5"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0EC0B178"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3402F52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Riviera del Brenta</w:t>
            </w:r>
          </w:p>
        </w:tc>
        <w:tc>
          <w:tcPr>
            <w:tcW w:w="1240" w:type="dxa"/>
            <w:noWrap/>
            <w:hideMark/>
          </w:tcPr>
          <w:p w14:paraId="7083E3A2"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4627A9B3"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165069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Marca Occidentale</w:t>
            </w:r>
          </w:p>
        </w:tc>
        <w:tc>
          <w:tcPr>
            <w:tcW w:w="1240" w:type="dxa"/>
            <w:noWrap/>
            <w:hideMark/>
          </w:tcPr>
          <w:p w14:paraId="6BB97E1A"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0D658A77"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7AA6146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Terre e Fiumi</w:t>
            </w:r>
          </w:p>
        </w:tc>
        <w:tc>
          <w:tcPr>
            <w:tcW w:w="1240" w:type="dxa"/>
            <w:noWrap/>
            <w:hideMark/>
          </w:tcPr>
          <w:p w14:paraId="5069FEEC"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7EB26A58"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0B7DABD5"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Taro e Ceno</w:t>
            </w:r>
          </w:p>
        </w:tc>
        <w:tc>
          <w:tcPr>
            <w:tcW w:w="1240" w:type="dxa"/>
            <w:noWrap/>
            <w:hideMark/>
          </w:tcPr>
          <w:p w14:paraId="6F35D17C"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0416B60B"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DA6AC2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Valmarecchia</w:t>
            </w:r>
          </w:p>
        </w:tc>
        <w:tc>
          <w:tcPr>
            <w:tcW w:w="1240" w:type="dxa"/>
            <w:noWrap/>
            <w:hideMark/>
          </w:tcPr>
          <w:p w14:paraId="1E281E14"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681B2697"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7652702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Circondario Empolese Valdelsa</w:t>
            </w:r>
          </w:p>
        </w:tc>
        <w:tc>
          <w:tcPr>
            <w:tcW w:w="1240" w:type="dxa"/>
            <w:noWrap/>
            <w:hideMark/>
          </w:tcPr>
          <w:p w14:paraId="53A47B4D"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2D89CF45"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74A46517"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Garfagnana</w:t>
            </w:r>
          </w:p>
        </w:tc>
        <w:tc>
          <w:tcPr>
            <w:tcW w:w="1240" w:type="dxa"/>
            <w:noWrap/>
            <w:hideMark/>
          </w:tcPr>
          <w:p w14:paraId="61C71552"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4C835789"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1AE153CC"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FC Camposampierese</w:t>
            </w:r>
          </w:p>
        </w:tc>
        <w:tc>
          <w:tcPr>
            <w:tcW w:w="1240" w:type="dxa"/>
            <w:noWrap/>
            <w:hideMark/>
          </w:tcPr>
          <w:p w14:paraId="515888C2"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0</w:t>
            </w:r>
          </w:p>
        </w:tc>
      </w:tr>
      <w:tr w:rsidR="00194D84" w:rsidRPr="00194D84" w14:paraId="4731A1E7"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65C2138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Valle del Belice</w:t>
            </w:r>
          </w:p>
        </w:tc>
        <w:tc>
          <w:tcPr>
            <w:tcW w:w="1240" w:type="dxa"/>
            <w:noWrap/>
            <w:hideMark/>
          </w:tcPr>
          <w:p w14:paraId="617456C5"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5FB95ACC"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561CE8B1"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Valle del Torbido</w:t>
            </w:r>
          </w:p>
        </w:tc>
        <w:tc>
          <w:tcPr>
            <w:tcW w:w="1240" w:type="dxa"/>
            <w:noWrap/>
            <w:hideMark/>
          </w:tcPr>
          <w:p w14:paraId="2E17BCF9"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6F74F0AB"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64DD22B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UT Intercomunale Collio-Alto Isonzo</w:t>
            </w:r>
          </w:p>
        </w:tc>
        <w:tc>
          <w:tcPr>
            <w:tcW w:w="1240" w:type="dxa"/>
            <w:noWrap/>
            <w:hideMark/>
          </w:tcPr>
          <w:p w14:paraId="128ABCAD"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47C9DD0E"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323" w:type="dxa"/>
            <w:noWrap/>
            <w:hideMark/>
          </w:tcPr>
          <w:p w14:paraId="7441B652"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Madonie</w:t>
            </w:r>
          </w:p>
        </w:tc>
        <w:tc>
          <w:tcPr>
            <w:tcW w:w="1240" w:type="dxa"/>
            <w:noWrap/>
            <w:hideMark/>
          </w:tcPr>
          <w:p w14:paraId="17FC5EB4"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bl>
    <w:p w14:paraId="26324EBC" w14:textId="77777777" w:rsidR="00194D84" w:rsidRPr="00194D84" w:rsidRDefault="00194D84" w:rsidP="00194D84">
      <w:pPr>
        <w:spacing w:before="120" w:after="200" w:line="276" w:lineRule="auto"/>
        <w:jc w:val="both"/>
        <w:rPr>
          <w:rFonts w:ascii="Avenir Next LT Pro" w:eastAsia="MS Mincho" w:hAnsi="Avenir Next LT Pro" w:cs="Times New Roman"/>
          <w:sz w:val="20"/>
          <w:szCs w:val="20"/>
        </w:rPr>
      </w:pPr>
      <w:r w:rsidRPr="00194D84">
        <w:rPr>
          <w:rFonts w:ascii="Avenir Next LT Pro" w:eastAsia="MS Mincho" w:hAnsi="Avenir Next LT Pro" w:cs="Times New Roman"/>
          <w:sz w:val="20"/>
          <w:szCs w:val="20"/>
        </w:rPr>
        <w:t>Fonte: rielaborazione su dati BDAP</w:t>
      </w:r>
    </w:p>
    <w:p w14:paraId="7303444E" w14:textId="77777777" w:rsidR="00194D84" w:rsidRPr="00194D84" w:rsidRDefault="00194D84" w:rsidP="00194D84">
      <w:pPr>
        <w:spacing w:before="120" w:after="200" w:line="276" w:lineRule="auto"/>
        <w:jc w:val="both"/>
        <w:rPr>
          <w:rFonts w:ascii="Avenir Next LT Pro" w:eastAsia="MS Mincho" w:hAnsi="Avenir Next LT Pro" w:cs="Times New Roman"/>
          <w:sz w:val="20"/>
          <w:szCs w:val="20"/>
        </w:rPr>
      </w:pPr>
    </w:p>
    <w:p w14:paraId="5F606583" w14:textId="77777777" w:rsidR="00194D84" w:rsidRPr="00194D84" w:rsidRDefault="00194D84" w:rsidP="00194D84">
      <w:pPr>
        <w:spacing w:before="120" w:after="200" w:line="276" w:lineRule="auto"/>
        <w:jc w:val="both"/>
        <w:rPr>
          <w:rFonts w:ascii="Avenir Next LT Pro" w:eastAsia="MS Mincho" w:hAnsi="Avenir Next LT Pro" w:cs="Times New Roman"/>
          <w:sz w:val="20"/>
          <w:szCs w:val="20"/>
        </w:rPr>
      </w:pPr>
    </w:p>
    <w:p w14:paraId="10233220" w14:textId="77777777" w:rsidR="00194D84" w:rsidRPr="00194D84" w:rsidRDefault="00194D84" w:rsidP="00194D84">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12" w:name="_Toc93168807"/>
      <w:r w:rsidRPr="00194D84">
        <w:rPr>
          <w:rFonts w:ascii="Avenir Next LT Pro" w:eastAsia="MS Gothic" w:hAnsi="Avenir Next LT Pro" w:cs="Times New Roman"/>
          <w:b/>
          <w:color w:val="256D9D"/>
          <w:sz w:val="24"/>
          <w:szCs w:val="24"/>
        </w:rPr>
        <w:lastRenderedPageBreak/>
        <w:t>Incidenza della spesa in conto capitale</w:t>
      </w:r>
      <w:bookmarkEnd w:id="12"/>
    </w:p>
    <w:p w14:paraId="3146BFCE"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L’incidenza della spesa in conto capitale sul totale della spesa corrente e in conto capitale riguarda il livello di investimenti messi in campo: è sicuramente un indicatore centrale per lo sviluppo territoriale di un ente.</w:t>
      </w:r>
      <w:r w:rsidRPr="00194D84">
        <w:rPr>
          <w:rFonts w:ascii="Avenir Next LT Pro" w:eastAsia="MS Mincho" w:hAnsi="Avenir Next LT Pro" w:cs="Times New Roman"/>
          <w:sz w:val="23"/>
        </w:rPr>
        <w:tab/>
      </w:r>
    </w:p>
    <w:p w14:paraId="023914EF"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Estremamente rilevanti i livelli di investimenti dell’Unione Montana Val Gallenca, in Piemonte, e dell’Unione Garfagnana, in Toscana, che superano l’80%.</w:t>
      </w:r>
    </w:p>
    <w:p w14:paraId="62E4D928"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Nulla o quasi (inferiore all’1%), invece, è la spesa in conto capitale di sette unioni su ventinove. Tra esse anche la Bassa Reggiana.</w:t>
      </w:r>
    </w:p>
    <w:p w14:paraId="006BC68D" w14:textId="77777777" w:rsidR="00194D84" w:rsidRPr="00194D84" w:rsidRDefault="00194D84" w:rsidP="00194D84">
      <w:pPr>
        <w:spacing w:after="240" w:line="240" w:lineRule="auto"/>
        <w:rPr>
          <w:rFonts w:ascii="Avenir Next LT Pro" w:eastAsia="MS Mincho" w:hAnsi="Avenir Next LT Pro" w:cs="Times New Roman"/>
          <w:bCs/>
          <w:sz w:val="23"/>
        </w:rPr>
      </w:pPr>
    </w:p>
    <w:p w14:paraId="41ACD2BC" w14:textId="77777777" w:rsidR="00194D84" w:rsidRPr="00194D84" w:rsidRDefault="00194D84" w:rsidP="00194D84">
      <w:pPr>
        <w:keepNext/>
        <w:spacing w:after="200" w:line="240" w:lineRule="auto"/>
        <w:rPr>
          <w:rFonts w:ascii="Avenir Next LT Pro" w:eastAsia="MS Mincho" w:hAnsi="Avenir Next LT Pro" w:cs="Times New Roman"/>
          <w:i/>
          <w:iCs/>
          <w:color w:val="082A75"/>
          <w:sz w:val="23"/>
          <w:szCs w:val="23"/>
        </w:rPr>
      </w:pPr>
      <w:bookmarkStart w:id="13" w:name="_Toc93171062"/>
      <w:r w:rsidRPr="00194D84">
        <w:rPr>
          <w:rFonts w:ascii="Avenir Next LT Pro" w:eastAsia="MS Mincho" w:hAnsi="Avenir Next LT Pro" w:cs="Times New Roman"/>
          <w:i/>
          <w:iCs/>
          <w:color w:val="082A75"/>
          <w:sz w:val="23"/>
          <w:szCs w:val="23"/>
        </w:rPr>
        <w:t xml:space="preserve">Figura </w:t>
      </w:r>
      <w:r w:rsidRPr="00194D84">
        <w:rPr>
          <w:rFonts w:ascii="Avenir Next LT Pro" w:eastAsia="MS Mincho" w:hAnsi="Avenir Next LT Pro" w:cs="Times New Roman"/>
          <w:i/>
          <w:iCs/>
          <w:color w:val="082A75"/>
          <w:sz w:val="23"/>
          <w:szCs w:val="23"/>
        </w:rPr>
        <w:fldChar w:fldCharType="begin"/>
      </w:r>
      <w:r w:rsidRPr="00194D84">
        <w:rPr>
          <w:rFonts w:ascii="Avenir Next LT Pro" w:eastAsia="MS Mincho" w:hAnsi="Avenir Next LT Pro" w:cs="Times New Roman"/>
          <w:i/>
          <w:iCs/>
          <w:color w:val="082A75"/>
          <w:sz w:val="23"/>
          <w:szCs w:val="23"/>
        </w:rPr>
        <w:instrText xml:space="preserve"> SEQ Figura \* ARABIC </w:instrText>
      </w:r>
      <w:r w:rsidRPr="00194D84">
        <w:rPr>
          <w:rFonts w:ascii="Avenir Next LT Pro" w:eastAsia="MS Mincho" w:hAnsi="Avenir Next LT Pro" w:cs="Times New Roman"/>
          <w:i/>
          <w:iCs/>
          <w:color w:val="082A75"/>
          <w:sz w:val="23"/>
          <w:szCs w:val="23"/>
        </w:rPr>
        <w:fldChar w:fldCharType="separate"/>
      </w:r>
      <w:r w:rsidRPr="00194D84">
        <w:rPr>
          <w:rFonts w:ascii="Avenir Next LT Pro" w:eastAsia="MS Mincho" w:hAnsi="Avenir Next LT Pro" w:cs="Times New Roman"/>
          <w:i/>
          <w:iCs/>
          <w:noProof/>
          <w:color w:val="082A75"/>
          <w:sz w:val="23"/>
          <w:szCs w:val="23"/>
        </w:rPr>
        <w:t>8</w:t>
      </w:r>
      <w:r w:rsidRPr="00194D84">
        <w:rPr>
          <w:rFonts w:ascii="Avenir Next LT Pro" w:eastAsia="MS Mincho" w:hAnsi="Avenir Next LT Pro" w:cs="Times New Roman"/>
          <w:i/>
          <w:iCs/>
          <w:color w:val="082A75"/>
          <w:sz w:val="23"/>
          <w:szCs w:val="23"/>
        </w:rPr>
        <w:fldChar w:fldCharType="end"/>
      </w:r>
      <w:r w:rsidRPr="00194D84">
        <w:rPr>
          <w:rFonts w:ascii="Avenir Next LT Pro" w:eastAsia="MS Mincho" w:hAnsi="Avenir Next LT Pro" w:cs="Times New Roman"/>
          <w:i/>
          <w:iCs/>
          <w:color w:val="082A75"/>
          <w:sz w:val="23"/>
          <w:szCs w:val="23"/>
        </w:rPr>
        <w:t xml:space="preserve"> INCIDENZA DELLA SPESA IN CONTO CAPITALE SU SPESA TOTALE</w:t>
      </w:r>
      <w:bookmarkEnd w:id="13"/>
    </w:p>
    <w:p w14:paraId="1E1D4307" w14:textId="77777777" w:rsidR="00194D84" w:rsidRPr="00194D84" w:rsidRDefault="00194D84" w:rsidP="00194D84">
      <w:pPr>
        <w:spacing w:after="240" w:line="240" w:lineRule="auto"/>
        <w:rPr>
          <w:rFonts w:ascii="Avenir Next LT Pro" w:eastAsia="MS Mincho" w:hAnsi="Avenir Next LT Pro" w:cs="Times New Roman"/>
          <w:bCs/>
          <w:sz w:val="23"/>
        </w:rPr>
      </w:pPr>
      <w:r w:rsidRPr="00194D84">
        <w:rPr>
          <w:rFonts w:ascii="Avenir Next LT Pro" w:eastAsia="MS Mincho" w:hAnsi="Avenir Next LT Pro" w:cs="Times New Roman"/>
          <w:noProof/>
          <w:sz w:val="23"/>
        </w:rPr>
        <w:drawing>
          <wp:inline distT="0" distB="0" distL="0" distR="0" wp14:anchorId="45455E24" wp14:editId="113976C1">
            <wp:extent cx="6823086" cy="3526790"/>
            <wp:effectExtent l="0" t="0" r="0" b="0"/>
            <wp:docPr id="20" name="Grafico 20">
              <a:extLst xmlns:a="http://schemas.openxmlformats.org/drawingml/2006/main">
                <a:ext uri="{FF2B5EF4-FFF2-40B4-BE49-F238E27FC236}">
                  <a16:creationId xmlns:a16="http://schemas.microsoft.com/office/drawing/2014/main" id="{39F519DD-EDBD-45B2-B3CC-A6B73A803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A1227B" w14:textId="59045ED0" w:rsidR="00194D84" w:rsidRDefault="00194D84" w:rsidP="00194D84">
      <w:pPr>
        <w:spacing w:after="200" w:line="276" w:lineRule="auto"/>
        <w:jc w:val="both"/>
        <w:rPr>
          <w:rFonts w:ascii="Avenir Next LT Pro" w:eastAsia="MS Mincho" w:hAnsi="Avenir Next LT Pro" w:cs="Times New Roman"/>
          <w:sz w:val="20"/>
          <w:szCs w:val="20"/>
        </w:rPr>
      </w:pPr>
      <w:r w:rsidRPr="00194D84">
        <w:rPr>
          <w:rFonts w:ascii="Avenir Next LT Pro" w:eastAsia="MS Mincho" w:hAnsi="Avenir Next LT Pro" w:cs="Times New Roman"/>
          <w:sz w:val="20"/>
          <w:szCs w:val="20"/>
        </w:rPr>
        <w:t>Fonte: rielaborazione su dati BDAP</w:t>
      </w:r>
    </w:p>
    <w:p w14:paraId="17B62C9A" w14:textId="4647F5F0" w:rsidR="00194D84" w:rsidRDefault="00194D84" w:rsidP="00194D84">
      <w:pPr>
        <w:spacing w:after="200" w:line="276" w:lineRule="auto"/>
        <w:jc w:val="both"/>
        <w:rPr>
          <w:rFonts w:ascii="Avenir Next LT Pro" w:eastAsia="MS Mincho" w:hAnsi="Avenir Next LT Pro" w:cs="Times New Roman"/>
          <w:sz w:val="20"/>
          <w:szCs w:val="20"/>
        </w:rPr>
      </w:pPr>
    </w:p>
    <w:p w14:paraId="51B2D7B8" w14:textId="77777777" w:rsidR="00194D84" w:rsidRPr="00194D84" w:rsidRDefault="00194D84" w:rsidP="00194D84">
      <w:pPr>
        <w:spacing w:after="200" w:line="276" w:lineRule="auto"/>
        <w:jc w:val="both"/>
        <w:rPr>
          <w:rFonts w:ascii="Avenir Next LT Pro" w:eastAsia="MS Mincho" w:hAnsi="Avenir Next LT Pro" w:cs="Times New Roman"/>
          <w:sz w:val="20"/>
          <w:szCs w:val="20"/>
        </w:rPr>
      </w:pPr>
    </w:p>
    <w:p w14:paraId="37B4B8B4" w14:textId="77777777" w:rsidR="00194D84" w:rsidRPr="00194D84" w:rsidRDefault="00194D84" w:rsidP="00194D84">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14" w:name="_Toc93168808"/>
      <w:r w:rsidRPr="00194D84">
        <w:rPr>
          <w:rFonts w:ascii="Avenir Next LT Pro" w:eastAsia="MS Gothic" w:hAnsi="Avenir Next LT Pro" w:cs="Times New Roman"/>
          <w:b/>
          <w:color w:val="256D9D"/>
          <w:sz w:val="24"/>
          <w:szCs w:val="24"/>
        </w:rPr>
        <w:t>Incidenza della spesa per il personale</w:t>
      </w:r>
      <w:bookmarkEnd w:id="14"/>
    </w:p>
    <w:p w14:paraId="2B1E9A13"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L’incidenza della spesa per il personale sulla spesa corrente rappresenta molto spesso il principale elemento di rigidità della spesa degli enti.</w:t>
      </w:r>
    </w:p>
    <w:p w14:paraId="500985B8"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t xml:space="preserve">In due Unioni - una al Sud e una al Nord - la quota della spesa corrente impegnata per il personale è molto alta: intorno al 70%. Si tratta della siciliana Platani Quisquina </w:t>
      </w:r>
      <w:proofErr w:type="spellStart"/>
      <w:r w:rsidRPr="00194D84">
        <w:rPr>
          <w:rFonts w:ascii="Avenir Next LT Pro" w:eastAsia="MS Mincho" w:hAnsi="Avenir Next LT Pro" w:cs="Times New Roman"/>
          <w:sz w:val="23"/>
        </w:rPr>
        <w:t>Magazzolo</w:t>
      </w:r>
      <w:proofErr w:type="spellEnd"/>
      <w:r w:rsidRPr="00194D84">
        <w:rPr>
          <w:rFonts w:ascii="Avenir Next LT Pro" w:eastAsia="MS Mincho" w:hAnsi="Avenir Next LT Pro" w:cs="Times New Roman"/>
          <w:sz w:val="23"/>
        </w:rPr>
        <w:t xml:space="preserve"> e della veneta Caldogno, Costabissara, Isola Vicentina.</w:t>
      </w:r>
    </w:p>
    <w:p w14:paraId="185BD43D" w14:textId="77777777" w:rsidR="00194D84" w:rsidRPr="00194D84" w:rsidRDefault="00194D84" w:rsidP="00194D84">
      <w:pPr>
        <w:spacing w:after="60" w:line="312" w:lineRule="auto"/>
        <w:jc w:val="both"/>
        <w:rPr>
          <w:rFonts w:ascii="Avenir Next LT Pro" w:eastAsia="MS Mincho" w:hAnsi="Avenir Next LT Pro" w:cs="Times New Roman"/>
          <w:sz w:val="23"/>
        </w:rPr>
      </w:pPr>
      <w:r w:rsidRPr="00194D84">
        <w:rPr>
          <w:rFonts w:ascii="Avenir Next LT Pro" w:eastAsia="MS Mincho" w:hAnsi="Avenir Next LT Pro" w:cs="Times New Roman"/>
          <w:sz w:val="23"/>
        </w:rPr>
        <w:lastRenderedPageBreak/>
        <w:t>Al contrario, la spesa per il personale incide poco, meno del 10%, per altre due Unioni, anche in questo caso una del Sud e una del Nord: l’abruzzese Val Vibrata e la piemontese Valli Orco e Soana.</w:t>
      </w:r>
    </w:p>
    <w:p w14:paraId="15E9ED52" w14:textId="77777777" w:rsidR="00194D84" w:rsidRPr="00194D84" w:rsidRDefault="00194D84" w:rsidP="00194D84">
      <w:pPr>
        <w:spacing w:after="240" w:line="240" w:lineRule="auto"/>
        <w:rPr>
          <w:rFonts w:ascii="Avenir Next LT Pro" w:eastAsia="MS Mincho" w:hAnsi="Avenir Next LT Pro" w:cs="Times New Roman"/>
          <w:bCs/>
          <w:sz w:val="23"/>
        </w:rPr>
      </w:pPr>
    </w:p>
    <w:p w14:paraId="4A422F5E" w14:textId="77777777" w:rsidR="00194D84" w:rsidRPr="00194D84" w:rsidRDefault="00194D84" w:rsidP="00194D84">
      <w:pPr>
        <w:keepNext/>
        <w:spacing w:after="200" w:line="240" w:lineRule="auto"/>
        <w:jc w:val="both"/>
        <w:rPr>
          <w:rFonts w:ascii="Avenir Next LT Pro" w:eastAsia="MS Mincho" w:hAnsi="Avenir Next LT Pro" w:cs="Times New Roman"/>
          <w:i/>
          <w:iCs/>
          <w:color w:val="082A75"/>
          <w:sz w:val="23"/>
          <w:szCs w:val="23"/>
        </w:rPr>
      </w:pPr>
      <w:bookmarkStart w:id="15" w:name="_Toc93170920"/>
      <w:r w:rsidRPr="00194D84">
        <w:rPr>
          <w:rFonts w:ascii="Avenir Next LT Pro" w:eastAsia="MS Mincho" w:hAnsi="Avenir Next LT Pro" w:cs="Times New Roman"/>
          <w:i/>
          <w:iCs/>
          <w:color w:val="082A75"/>
          <w:sz w:val="23"/>
          <w:szCs w:val="23"/>
        </w:rPr>
        <w:t xml:space="preserve">Tabella </w:t>
      </w:r>
      <w:r w:rsidRPr="00194D84">
        <w:rPr>
          <w:rFonts w:ascii="Avenir Next LT Pro" w:eastAsia="MS Mincho" w:hAnsi="Avenir Next LT Pro" w:cs="Times New Roman"/>
          <w:i/>
          <w:iCs/>
          <w:color w:val="082A75"/>
          <w:sz w:val="23"/>
          <w:szCs w:val="23"/>
        </w:rPr>
        <w:fldChar w:fldCharType="begin"/>
      </w:r>
      <w:r w:rsidRPr="00194D84">
        <w:rPr>
          <w:rFonts w:ascii="Avenir Next LT Pro" w:eastAsia="MS Mincho" w:hAnsi="Avenir Next LT Pro" w:cs="Times New Roman"/>
          <w:i/>
          <w:iCs/>
          <w:color w:val="082A75"/>
          <w:sz w:val="23"/>
          <w:szCs w:val="23"/>
        </w:rPr>
        <w:instrText xml:space="preserve"> SEQ Tabella \* ARABIC </w:instrText>
      </w:r>
      <w:r w:rsidRPr="00194D84">
        <w:rPr>
          <w:rFonts w:ascii="Avenir Next LT Pro" w:eastAsia="MS Mincho" w:hAnsi="Avenir Next LT Pro" w:cs="Times New Roman"/>
          <w:i/>
          <w:iCs/>
          <w:color w:val="082A75"/>
          <w:sz w:val="23"/>
          <w:szCs w:val="23"/>
        </w:rPr>
        <w:fldChar w:fldCharType="separate"/>
      </w:r>
      <w:r w:rsidRPr="00194D84">
        <w:rPr>
          <w:rFonts w:ascii="Avenir Next LT Pro" w:eastAsia="MS Mincho" w:hAnsi="Avenir Next LT Pro" w:cs="Times New Roman"/>
          <w:i/>
          <w:iCs/>
          <w:noProof/>
          <w:color w:val="082A75"/>
          <w:sz w:val="23"/>
          <w:szCs w:val="23"/>
        </w:rPr>
        <w:t>15</w:t>
      </w:r>
      <w:r w:rsidRPr="00194D84">
        <w:rPr>
          <w:rFonts w:ascii="Avenir Next LT Pro" w:eastAsia="MS Mincho" w:hAnsi="Avenir Next LT Pro" w:cs="Times New Roman"/>
          <w:i/>
          <w:iCs/>
          <w:color w:val="082A75"/>
          <w:sz w:val="23"/>
          <w:szCs w:val="23"/>
        </w:rPr>
        <w:fldChar w:fldCharType="end"/>
      </w:r>
      <w:r w:rsidRPr="00194D84">
        <w:rPr>
          <w:rFonts w:ascii="Avenir Next LT Pro" w:eastAsia="MS Mincho" w:hAnsi="Avenir Next LT Pro" w:cs="Times New Roman"/>
          <w:i/>
          <w:iCs/>
          <w:color w:val="082A75"/>
          <w:sz w:val="23"/>
          <w:szCs w:val="23"/>
        </w:rPr>
        <w:t xml:space="preserve"> INCIDENZA DELLA SPESA PER IL PERSONALE</w:t>
      </w:r>
      <w:bookmarkEnd w:id="15"/>
    </w:p>
    <w:tbl>
      <w:tblPr>
        <w:tblStyle w:val="Tabellagriglia4-colore21"/>
        <w:tblW w:w="6563" w:type="dxa"/>
        <w:tblLook w:val="04A0" w:firstRow="1" w:lastRow="0" w:firstColumn="1" w:lastColumn="0" w:noHBand="0" w:noVBand="1"/>
      </w:tblPr>
      <w:tblGrid>
        <w:gridCol w:w="4531"/>
        <w:gridCol w:w="2032"/>
      </w:tblGrid>
      <w:tr w:rsidR="00194D84" w:rsidRPr="00194D84" w14:paraId="45C5BEDB" w14:textId="77777777" w:rsidTr="00194D84">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531" w:type="dxa"/>
            <w:noWrap/>
            <w:vAlign w:val="center"/>
            <w:hideMark/>
          </w:tcPr>
          <w:p w14:paraId="681FF50C" w14:textId="77777777" w:rsidR="00194D84" w:rsidRPr="00194D84" w:rsidRDefault="00194D84" w:rsidP="00194D84">
            <w:pPr>
              <w:jc w:val="center"/>
              <w:rPr>
                <w:rFonts w:ascii="Avenir Next LT Pro" w:eastAsia="Times New Roman" w:hAnsi="Avenir Next LT Pro" w:cs="Calibri"/>
                <w:lang w:eastAsia="it-IT"/>
              </w:rPr>
            </w:pPr>
            <w:r w:rsidRPr="00194D84">
              <w:rPr>
                <w:rFonts w:ascii="Avenir Next LT Pro" w:eastAsia="Times New Roman" w:hAnsi="Avenir Next LT Pro" w:cs="Calibri"/>
                <w:lang w:eastAsia="it-IT"/>
              </w:rPr>
              <w:t>Unione</w:t>
            </w:r>
          </w:p>
        </w:tc>
        <w:tc>
          <w:tcPr>
            <w:tcW w:w="2032" w:type="dxa"/>
            <w:noWrap/>
            <w:vAlign w:val="center"/>
            <w:hideMark/>
          </w:tcPr>
          <w:p w14:paraId="2D08CDA3" w14:textId="77777777" w:rsidR="00194D84" w:rsidRPr="00194D84" w:rsidRDefault="00194D84" w:rsidP="00194D84">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194D84">
              <w:rPr>
                <w:rFonts w:ascii="Avenir Next LT Pro" w:eastAsia="Times New Roman" w:hAnsi="Avenir Next LT Pro" w:cs="Calibri"/>
                <w:lang w:eastAsia="it-IT"/>
              </w:rPr>
              <w:t>%</w:t>
            </w:r>
          </w:p>
        </w:tc>
      </w:tr>
      <w:tr w:rsidR="00194D84" w:rsidRPr="00194D84" w14:paraId="6FD9E8A0"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E37ACD4"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Caldogno, Costabissara, Isola Vicentina</w:t>
            </w:r>
          </w:p>
        </w:tc>
        <w:tc>
          <w:tcPr>
            <w:tcW w:w="2032" w:type="dxa"/>
            <w:noWrap/>
            <w:hideMark/>
          </w:tcPr>
          <w:p w14:paraId="48EE0F9D"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71</w:t>
            </w:r>
          </w:p>
        </w:tc>
      </w:tr>
      <w:tr w:rsidR="00194D84" w:rsidRPr="00194D84" w14:paraId="662B0703"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15BE463A"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 xml:space="preserve">Platani Quisquina </w:t>
            </w:r>
            <w:proofErr w:type="spellStart"/>
            <w:r w:rsidRPr="00194D84">
              <w:rPr>
                <w:rFonts w:ascii="Avenir Next LT Pro" w:eastAsia="Times New Roman" w:hAnsi="Avenir Next LT Pro" w:cs="Calibri"/>
                <w:color w:val="000000"/>
                <w:lang w:eastAsia="it-IT"/>
              </w:rPr>
              <w:t>Magazzolo</w:t>
            </w:r>
            <w:proofErr w:type="spellEnd"/>
          </w:p>
        </w:tc>
        <w:tc>
          <w:tcPr>
            <w:tcW w:w="2032" w:type="dxa"/>
            <w:noWrap/>
            <w:hideMark/>
          </w:tcPr>
          <w:p w14:paraId="3F98DB8A"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69</w:t>
            </w:r>
          </w:p>
        </w:tc>
      </w:tr>
      <w:tr w:rsidR="00194D84" w:rsidRPr="00194D84" w14:paraId="5BB37B46"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1BB8DBA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Romagna Faentina</w:t>
            </w:r>
          </w:p>
        </w:tc>
        <w:tc>
          <w:tcPr>
            <w:tcW w:w="2032" w:type="dxa"/>
            <w:noWrap/>
            <w:hideMark/>
          </w:tcPr>
          <w:p w14:paraId="1DD050AB"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49</w:t>
            </w:r>
          </w:p>
        </w:tc>
      </w:tr>
      <w:tr w:rsidR="00194D84" w:rsidRPr="00194D84" w14:paraId="1BCBB5AA"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0F8D0D64"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Montani Appennino Pistoiese</w:t>
            </w:r>
          </w:p>
        </w:tc>
        <w:tc>
          <w:tcPr>
            <w:tcW w:w="2032" w:type="dxa"/>
            <w:noWrap/>
            <w:hideMark/>
          </w:tcPr>
          <w:p w14:paraId="31476A74"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48</w:t>
            </w:r>
          </w:p>
        </w:tc>
      </w:tr>
      <w:tr w:rsidR="00194D84" w:rsidRPr="00194D84" w14:paraId="795E4324"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71050635"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Garfagnana</w:t>
            </w:r>
          </w:p>
        </w:tc>
        <w:tc>
          <w:tcPr>
            <w:tcW w:w="2032" w:type="dxa"/>
            <w:noWrap/>
            <w:hideMark/>
          </w:tcPr>
          <w:p w14:paraId="68CC1C15"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46</w:t>
            </w:r>
          </w:p>
        </w:tc>
      </w:tr>
      <w:tr w:rsidR="00194D84" w:rsidRPr="00194D84" w14:paraId="4D1A94C2"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042C366"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Valdichiana senese</w:t>
            </w:r>
          </w:p>
        </w:tc>
        <w:tc>
          <w:tcPr>
            <w:tcW w:w="2032" w:type="dxa"/>
            <w:noWrap/>
            <w:hideMark/>
          </w:tcPr>
          <w:p w14:paraId="0C4EFBB2"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40</w:t>
            </w:r>
          </w:p>
        </w:tc>
      </w:tr>
      <w:tr w:rsidR="00194D84" w:rsidRPr="00194D84" w14:paraId="398DA683"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0FC9C00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Fossanese</w:t>
            </w:r>
          </w:p>
        </w:tc>
        <w:tc>
          <w:tcPr>
            <w:tcW w:w="2032" w:type="dxa"/>
            <w:noWrap/>
            <w:hideMark/>
          </w:tcPr>
          <w:p w14:paraId="49D989F0"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39</w:t>
            </w:r>
          </w:p>
        </w:tc>
      </w:tr>
      <w:tr w:rsidR="00194D84" w:rsidRPr="00194D84" w14:paraId="64808E58"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0A39BFC4"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FC Camposampierese</w:t>
            </w:r>
          </w:p>
        </w:tc>
        <w:tc>
          <w:tcPr>
            <w:tcW w:w="2032" w:type="dxa"/>
            <w:noWrap/>
            <w:hideMark/>
          </w:tcPr>
          <w:p w14:paraId="647E8350"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37</w:t>
            </w:r>
          </w:p>
        </w:tc>
      </w:tr>
      <w:tr w:rsidR="00194D84" w:rsidRPr="00194D84" w14:paraId="200480E9"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2E1B098"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Terre e Fiumi</w:t>
            </w:r>
          </w:p>
        </w:tc>
        <w:tc>
          <w:tcPr>
            <w:tcW w:w="2032" w:type="dxa"/>
            <w:noWrap/>
            <w:hideMark/>
          </w:tcPr>
          <w:p w14:paraId="17407CE8"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36</w:t>
            </w:r>
          </w:p>
        </w:tc>
      </w:tr>
      <w:tr w:rsidR="00194D84" w:rsidRPr="00194D84" w14:paraId="30C576AF"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67D2401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Val Gallenca</w:t>
            </w:r>
          </w:p>
        </w:tc>
        <w:tc>
          <w:tcPr>
            <w:tcW w:w="2032" w:type="dxa"/>
            <w:noWrap/>
            <w:hideMark/>
          </w:tcPr>
          <w:p w14:paraId="07F0825A"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36</w:t>
            </w:r>
          </w:p>
        </w:tc>
      </w:tr>
      <w:tr w:rsidR="00194D84" w:rsidRPr="00194D84" w14:paraId="3E070052"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266F61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Riviera del Brenta</w:t>
            </w:r>
          </w:p>
        </w:tc>
        <w:tc>
          <w:tcPr>
            <w:tcW w:w="2032" w:type="dxa"/>
            <w:noWrap/>
            <w:hideMark/>
          </w:tcPr>
          <w:p w14:paraId="62FA7929"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34</w:t>
            </w:r>
          </w:p>
        </w:tc>
      </w:tr>
      <w:tr w:rsidR="00194D84" w:rsidRPr="00194D84" w14:paraId="58C38056"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DA42F3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Valmarecchia</w:t>
            </w:r>
          </w:p>
        </w:tc>
        <w:tc>
          <w:tcPr>
            <w:tcW w:w="2032" w:type="dxa"/>
            <w:noWrap/>
            <w:hideMark/>
          </w:tcPr>
          <w:p w14:paraId="0EB5351E"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29</w:t>
            </w:r>
          </w:p>
        </w:tc>
      </w:tr>
      <w:tr w:rsidR="00194D84" w:rsidRPr="00194D84" w14:paraId="16D3AF8E"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5F1F452C"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Reno Galliera</w:t>
            </w:r>
          </w:p>
        </w:tc>
        <w:tc>
          <w:tcPr>
            <w:tcW w:w="2032" w:type="dxa"/>
            <w:noWrap/>
            <w:hideMark/>
          </w:tcPr>
          <w:p w14:paraId="4DAD9255"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27</w:t>
            </w:r>
          </w:p>
        </w:tc>
      </w:tr>
      <w:tr w:rsidR="00194D84" w:rsidRPr="00194D84" w14:paraId="428D2758"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5202AAE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Bassa Reggiana</w:t>
            </w:r>
          </w:p>
        </w:tc>
        <w:tc>
          <w:tcPr>
            <w:tcW w:w="2032" w:type="dxa"/>
            <w:noWrap/>
            <w:hideMark/>
          </w:tcPr>
          <w:p w14:paraId="4B637BB2"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24</w:t>
            </w:r>
          </w:p>
        </w:tc>
      </w:tr>
      <w:tr w:rsidR="00194D84" w:rsidRPr="00194D84" w14:paraId="2AB7D8CC"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C2B1FFA"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 xml:space="preserve">C Terre </w:t>
            </w:r>
            <w:proofErr w:type="spellStart"/>
            <w:r w:rsidRPr="00194D84">
              <w:rPr>
                <w:rFonts w:ascii="Avenir Next LT Pro" w:eastAsia="Times New Roman" w:hAnsi="Avenir Next LT Pro" w:cs="Calibri"/>
                <w:color w:val="000000"/>
                <w:lang w:eastAsia="it-IT"/>
              </w:rPr>
              <w:t>Roveresche</w:t>
            </w:r>
            <w:proofErr w:type="spellEnd"/>
          </w:p>
        </w:tc>
        <w:tc>
          <w:tcPr>
            <w:tcW w:w="2032" w:type="dxa"/>
            <w:noWrap/>
            <w:hideMark/>
          </w:tcPr>
          <w:p w14:paraId="5D769ED2"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24</w:t>
            </w:r>
          </w:p>
        </w:tc>
      </w:tr>
      <w:tr w:rsidR="00194D84" w:rsidRPr="00194D84" w14:paraId="20C934A7"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6A04E346"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Valle del Savio</w:t>
            </w:r>
          </w:p>
        </w:tc>
        <w:tc>
          <w:tcPr>
            <w:tcW w:w="2032" w:type="dxa"/>
            <w:noWrap/>
            <w:hideMark/>
          </w:tcPr>
          <w:p w14:paraId="588FD41D"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22</w:t>
            </w:r>
          </w:p>
        </w:tc>
      </w:tr>
      <w:tr w:rsidR="00194D84" w:rsidRPr="00194D84" w14:paraId="31DB16D0"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61F5B585"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Circondario Empolese  Valdelsa</w:t>
            </w:r>
          </w:p>
        </w:tc>
        <w:tc>
          <w:tcPr>
            <w:tcW w:w="2032" w:type="dxa"/>
            <w:noWrap/>
            <w:hideMark/>
          </w:tcPr>
          <w:p w14:paraId="2A419AC4"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22</w:t>
            </w:r>
          </w:p>
        </w:tc>
      </w:tr>
      <w:tr w:rsidR="00194D84" w:rsidRPr="00194D84" w14:paraId="0CAA1412"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D06F996"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Valdera</w:t>
            </w:r>
          </w:p>
        </w:tc>
        <w:tc>
          <w:tcPr>
            <w:tcW w:w="2032" w:type="dxa"/>
            <w:noWrap/>
            <w:hideMark/>
          </w:tcPr>
          <w:p w14:paraId="4FA1C908"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21</w:t>
            </w:r>
          </w:p>
        </w:tc>
      </w:tr>
      <w:tr w:rsidR="00194D84" w:rsidRPr="00194D84" w14:paraId="6E07829D"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73D0BA0C"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Potenza Esino Musone</w:t>
            </w:r>
          </w:p>
        </w:tc>
        <w:tc>
          <w:tcPr>
            <w:tcW w:w="2032" w:type="dxa"/>
            <w:noWrap/>
            <w:hideMark/>
          </w:tcPr>
          <w:p w14:paraId="297E5173"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18</w:t>
            </w:r>
          </w:p>
        </w:tc>
      </w:tr>
      <w:tr w:rsidR="00194D84" w:rsidRPr="00194D84" w14:paraId="6A9DF86D"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12AB912"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Marca Occidentale</w:t>
            </w:r>
          </w:p>
        </w:tc>
        <w:tc>
          <w:tcPr>
            <w:tcW w:w="2032" w:type="dxa"/>
            <w:noWrap/>
            <w:hideMark/>
          </w:tcPr>
          <w:p w14:paraId="4F0AC114"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16</w:t>
            </w:r>
          </w:p>
        </w:tc>
      </w:tr>
      <w:tr w:rsidR="00194D84" w:rsidRPr="00194D84" w14:paraId="5606D86A"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9505779"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Terre dell’</w:t>
            </w:r>
            <w:proofErr w:type="spellStart"/>
            <w:r w:rsidRPr="00194D84">
              <w:rPr>
                <w:rFonts w:ascii="Avenir Next LT Pro" w:eastAsia="Times New Roman" w:hAnsi="Avenir Next LT Pro" w:cs="Calibri"/>
                <w:color w:val="000000"/>
                <w:lang w:eastAsia="it-IT"/>
              </w:rPr>
              <w:t>Ufita</w:t>
            </w:r>
            <w:proofErr w:type="spellEnd"/>
          </w:p>
        </w:tc>
        <w:tc>
          <w:tcPr>
            <w:tcW w:w="2032" w:type="dxa"/>
            <w:noWrap/>
            <w:hideMark/>
          </w:tcPr>
          <w:p w14:paraId="2A3889AF"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15</w:t>
            </w:r>
          </w:p>
        </w:tc>
      </w:tr>
      <w:tr w:rsidR="00194D84" w:rsidRPr="00194D84" w14:paraId="34C045AC"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5FA92C2E"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UC Taro e Ceno</w:t>
            </w:r>
          </w:p>
        </w:tc>
        <w:tc>
          <w:tcPr>
            <w:tcW w:w="2032" w:type="dxa"/>
            <w:noWrap/>
            <w:hideMark/>
          </w:tcPr>
          <w:p w14:paraId="7810BA19"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13</w:t>
            </w:r>
          </w:p>
        </w:tc>
      </w:tr>
      <w:tr w:rsidR="00194D84" w:rsidRPr="00194D84" w14:paraId="09664A9A"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F3DA33C"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Pian del Bruscolo</w:t>
            </w:r>
          </w:p>
        </w:tc>
        <w:tc>
          <w:tcPr>
            <w:tcW w:w="2032" w:type="dxa"/>
            <w:noWrap/>
            <w:hideMark/>
          </w:tcPr>
          <w:p w14:paraId="0AAC2724"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12</w:t>
            </w:r>
          </w:p>
        </w:tc>
      </w:tr>
      <w:tr w:rsidR="00194D84" w:rsidRPr="00194D84" w14:paraId="7602F06E"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448A41A"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UM Valli Orco e Soana</w:t>
            </w:r>
          </w:p>
        </w:tc>
        <w:tc>
          <w:tcPr>
            <w:tcW w:w="2032" w:type="dxa"/>
            <w:noWrap/>
            <w:hideMark/>
          </w:tcPr>
          <w:p w14:paraId="61CC4F16"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4</w:t>
            </w:r>
          </w:p>
        </w:tc>
      </w:tr>
      <w:tr w:rsidR="00194D84" w:rsidRPr="00194D84" w14:paraId="201A6F81"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69CEAC50"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 Vibrata</w:t>
            </w:r>
          </w:p>
        </w:tc>
        <w:tc>
          <w:tcPr>
            <w:tcW w:w="2032" w:type="dxa"/>
            <w:noWrap/>
            <w:hideMark/>
          </w:tcPr>
          <w:p w14:paraId="38B558BF"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2</w:t>
            </w:r>
          </w:p>
        </w:tc>
      </w:tr>
      <w:tr w:rsidR="00194D84" w:rsidRPr="00194D84" w14:paraId="5E198D11"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13472B8"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Valle del Belice</w:t>
            </w:r>
          </w:p>
        </w:tc>
        <w:tc>
          <w:tcPr>
            <w:tcW w:w="2032" w:type="dxa"/>
            <w:noWrap/>
            <w:hideMark/>
          </w:tcPr>
          <w:p w14:paraId="4421C1ED"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46ABF35B"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1545BB91"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Valle del Torbido</w:t>
            </w:r>
          </w:p>
        </w:tc>
        <w:tc>
          <w:tcPr>
            <w:tcW w:w="2032" w:type="dxa"/>
            <w:noWrap/>
            <w:hideMark/>
          </w:tcPr>
          <w:p w14:paraId="2F395CDA"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0880AF11"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DA3D3EF"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UT Intercomunale Collio-Alto Isonzo</w:t>
            </w:r>
          </w:p>
        </w:tc>
        <w:tc>
          <w:tcPr>
            <w:tcW w:w="2032" w:type="dxa"/>
            <w:noWrap/>
            <w:hideMark/>
          </w:tcPr>
          <w:p w14:paraId="2106448E" w14:textId="77777777" w:rsidR="00194D84" w:rsidRPr="00194D84" w:rsidRDefault="00194D84" w:rsidP="00194D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r w:rsidR="00194D84" w:rsidRPr="00194D84" w14:paraId="13A526EA" w14:textId="77777777" w:rsidTr="00194D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BC8CA7C" w14:textId="77777777" w:rsidR="00194D84" w:rsidRPr="00194D84" w:rsidRDefault="00194D84" w:rsidP="00194D84">
            <w:pPr>
              <w:rPr>
                <w:rFonts w:ascii="Avenir Next LT Pro" w:eastAsia="Times New Roman" w:hAnsi="Avenir Next LT Pro" w:cs="Calibri"/>
                <w:color w:val="000000"/>
                <w:lang w:eastAsia="it-IT"/>
              </w:rPr>
            </w:pPr>
            <w:r w:rsidRPr="00194D84">
              <w:rPr>
                <w:rFonts w:ascii="Avenir Next LT Pro" w:eastAsia="Times New Roman" w:hAnsi="Avenir Next LT Pro" w:cs="Calibri"/>
                <w:color w:val="000000"/>
                <w:lang w:eastAsia="it-IT"/>
              </w:rPr>
              <w:t>U Madonie</w:t>
            </w:r>
          </w:p>
        </w:tc>
        <w:tc>
          <w:tcPr>
            <w:tcW w:w="2032" w:type="dxa"/>
            <w:noWrap/>
            <w:hideMark/>
          </w:tcPr>
          <w:p w14:paraId="710CD06F" w14:textId="77777777" w:rsidR="00194D84" w:rsidRPr="00194D84" w:rsidRDefault="00194D84" w:rsidP="00194D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194D84">
              <w:rPr>
                <w:rFonts w:ascii="Avenir Next LT Pro" w:eastAsia="Times New Roman" w:hAnsi="Avenir Next LT Pro" w:cs="Calibri"/>
                <w:color w:val="000000"/>
                <w:lang w:eastAsia="it-IT"/>
              </w:rPr>
              <w:t>n.d.</w:t>
            </w:r>
            <w:proofErr w:type="spellEnd"/>
          </w:p>
        </w:tc>
      </w:tr>
    </w:tbl>
    <w:p w14:paraId="41D2AAC3" w14:textId="77777777" w:rsidR="00194D84" w:rsidRPr="00194D84" w:rsidRDefault="00194D84" w:rsidP="00194D84">
      <w:pPr>
        <w:spacing w:before="120" w:after="200" w:line="276" w:lineRule="auto"/>
        <w:jc w:val="both"/>
        <w:rPr>
          <w:rFonts w:ascii="Avenir Next LT Pro" w:eastAsia="MS Mincho" w:hAnsi="Avenir Next LT Pro" w:cs="Times New Roman"/>
          <w:sz w:val="20"/>
          <w:szCs w:val="20"/>
        </w:rPr>
      </w:pPr>
      <w:r w:rsidRPr="00194D84">
        <w:rPr>
          <w:rFonts w:ascii="Avenir Next LT Pro" w:eastAsia="MS Mincho" w:hAnsi="Avenir Next LT Pro" w:cs="Times New Roman"/>
          <w:sz w:val="20"/>
          <w:szCs w:val="20"/>
        </w:rPr>
        <w:t>Fonte: rielaborazione su dati BDAP</w:t>
      </w:r>
    </w:p>
    <w:p w14:paraId="15553319" w14:textId="77777777" w:rsidR="00307005" w:rsidRPr="00194D84" w:rsidRDefault="00390FB6">
      <w:pPr>
        <w:rPr>
          <w:rFonts w:ascii="Avenir Next LT Pro" w:hAnsi="Avenir Next LT Pro"/>
        </w:rPr>
      </w:pPr>
    </w:p>
    <w:sectPr w:rsidR="00307005" w:rsidRPr="00194D8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4D5F" w14:textId="77777777" w:rsidR="00194D84" w:rsidRDefault="00194D84" w:rsidP="00194D84">
      <w:pPr>
        <w:spacing w:after="0" w:line="240" w:lineRule="auto"/>
      </w:pPr>
      <w:r>
        <w:separator/>
      </w:r>
    </w:p>
  </w:endnote>
  <w:endnote w:type="continuationSeparator" w:id="0">
    <w:p w14:paraId="44FA482C" w14:textId="77777777" w:rsidR="00194D84" w:rsidRDefault="00194D84" w:rsidP="001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D8CF" w14:textId="77777777" w:rsidR="00194D84" w:rsidRDefault="00194D84" w:rsidP="00194D84">
      <w:pPr>
        <w:spacing w:after="0" w:line="240" w:lineRule="auto"/>
      </w:pPr>
      <w:r>
        <w:separator/>
      </w:r>
    </w:p>
  </w:footnote>
  <w:footnote w:type="continuationSeparator" w:id="0">
    <w:p w14:paraId="50505F20" w14:textId="77777777" w:rsidR="00194D84" w:rsidRDefault="00194D84" w:rsidP="00194D84">
      <w:pPr>
        <w:spacing w:after="0" w:line="240" w:lineRule="auto"/>
      </w:pPr>
      <w:r>
        <w:continuationSeparator/>
      </w:r>
    </w:p>
  </w:footnote>
  <w:footnote w:id="1">
    <w:p w14:paraId="648D7E43" w14:textId="77777777" w:rsidR="00194D84" w:rsidRPr="004C2647" w:rsidRDefault="00194D84" w:rsidP="00194D84">
      <w:pPr>
        <w:pStyle w:val="Testonotaapidipagina"/>
        <w:rPr>
          <w:b/>
          <w:bCs/>
        </w:rPr>
      </w:pPr>
      <w:r w:rsidRPr="004C2647">
        <w:rPr>
          <w:rStyle w:val="Rimandonotaapidipagina"/>
          <w:bCs/>
        </w:rPr>
        <w:footnoteRef/>
      </w:r>
      <w:r w:rsidRPr="004C2647">
        <w:rPr>
          <w:bCs/>
        </w:rPr>
        <w:t xml:space="preserve"> Cfr. elenco degli indicatori per area in Appendice.</w:t>
      </w:r>
    </w:p>
  </w:footnote>
  <w:footnote w:id="2">
    <w:p w14:paraId="2331BA5E" w14:textId="77777777" w:rsidR="00194D84" w:rsidRPr="00E21CFF" w:rsidRDefault="00194D84" w:rsidP="00194D84">
      <w:pPr>
        <w:pStyle w:val="Testonotaapidipagina"/>
        <w:rPr>
          <w:b/>
          <w:bCs/>
        </w:rPr>
      </w:pPr>
      <w:r>
        <w:rPr>
          <w:rStyle w:val="Rimandonotaapidipagina"/>
        </w:rPr>
        <w:footnoteRef/>
      </w:r>
      <w:r>
        <w:t xml:space="preserve"> </w:t>
      </w:r>
      <w:r w:rsidRPr="00E21CFF">
        <w:rPr>
          <w:bCs/>
        </w:rPr>
        <w:t>L’analisi ha riguardato il bilancio consuntivo 2019, disponibile sul portale B</w:t>
      </w:r>
      <w:r>
        <w:rPr>
          <w:bCs/>
        </w:rPr>
        <w:t>DAP</w:t>
      </w:r>
      <w:r w:rsidRPr="00E21CFF">
        <w:rPr>
          <w:bCs/>
        </w:rPr>
        <w:t xml:space="preserve"> a differenza di quello relativo al 2020</w:t>
      </w:r>
      <w:r>
        <w:rPr>
          <w:bCs/>
        </w:rPr>
        <w:t>,</w:t>
      </w:r>
      <w:r w:rsidRPr="00E21CFF">
        <w:rPr>
          <w:bCs/>
        </w:rPr>
        <w:t xml:space="preserve"> ancora in fase di caricamento (settembre 2021)</w:t>
      </w:r>
      <w:r>
        <w:rPr>
          <w:bCs/>
        </w:rPr>
        <w:t>.</w:t>
      </w:r>
    </w:p>
  </w:footnote>
  <w:footnote w:id="3">
    <w:p w14:paraId="45C75C73" w14:textId="77777777" w:rsidR="00194D84" w:rsidRPr="00DE3432" w:rsidRDefault="00194D84" w:rsidP="00194D84">
      <w:pPr>
        <w:pStyle w:val="Testonotaapidipagina"/>
        <w:rPr>
          <w:b/>
          <w:bCs/>
        </w:rPr>
      </w:pPr>
      <w:r w:rsidRPr="00DE3432">
        <w:rPr>
          <w:rStyle w:val="Rimandonotaapidipagina"/>
          <w:bCs/>
        </w:rPr>
        <w:footnoteRef/>
      </w:r>
      <w:r w:rsidRPr="00DE3432">
        <w:rPr>
          <w:bCs/>
        </w:rPr>
        <w:t xml:space="preserve"> </w:t>
      </w:r>
      <w:r>
        <w:rPr>
          <w:bCs/>
        </w:rPr>
        <w:t>L’Unione friulana è stata</w:t>
      </w:r>
      <w:r w:rsidRPr="00DE3432">
        <w:rPr>
          <w:bCs/>
        </w:rPr>
        <w:t xml:space="preserve"> soppressa a partire dal 1° gennaio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EB2"/>
    <w:multiLevelType w:val="multilevel"/>
    <w:tmpl w:val="BB5C63FA"/>
    <w:lvl w:ilvl="0">
      <w:start w:val="1"/>
      <w:numFmt w:val="decimal"/>
      <w:pStyle w:val="Titolo11"/>
      <w:lvlText w:val="%1."/>
      <w:lvlJc w:val="left"/>
      <w:pPr>
        <w:ind w:left="1080" w:hanging="360"/>
      </w:pPr>
    </w:lvl>
    <w:lvl w:ilvl="1">
      <w:start w:val="1"/>
      <w:numFmt w:val="decimal"/>
      <w:isLgl/>
      <w:lvlText w:val="%1.%2"/>
      <w:lvlJc w:val="left"/>
      <w:pPr>
        <w:ind w:left="1080" w:hanging="360"/>
      </w:pPr>
      <w:rPr>
        <w:rFonts w:hint="default"/>
      </w:rPr>
    </w:lvl>
    <w:lvl w:ilvl="2">
      <w:start w:val="1"/>
      <w:numFmt w:val="decimal"/>
      <w:pStyle w:val="Titolo31"/>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16cid:durableId="20460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84"/>
    <w:rsid w:val="00194D84"/>
    <w:rsid w:val="00390FB6"/>
    <w:rsid w:val="004F378A"/>
    <w:rsid w:val="008529C8"/>
    <w:rsid w:val="00D20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C53C"/>
  <w15:chartTrackingRefBased/>
  <w15:docId w15:val="{B617AF56-F412-43A0-A85B-2D83A6EC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94D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94D8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94D84"/>
    <w:rPr>
      <w:sz w:val="20"/>
      <w:szCs w:val="20"/>
    </w:rPr>
  </w:style>
  <w:style w:type="paragraph" w:customStyle="1" w:styleId="Titolo11">
    <w:name w:val="Titolo 11"/>
    <w:basedOn w:val="Normale"/>
    <w:next w:val="Titolo1"/>
    <w:autoRedefine/>
    <w:uiPriority w:val="9"/>
    <w:qFormat/>
    <w:rsid w:val="00194D84"/>
    <w:pPr>
      <w:keepNext/>
      <w:numPr>
        <w:numId w:val="1"/>
      </w:numPr>
      <w:tabs>
        <w:tab w:val="num" w:pos="360"/>
      </w:tabs>
      <w:spacing w:after="240" w:line="288" w:lineRule="auto"/>
      <w:ind w:left="0" w:firstLine="0"/>
      <w:jc w:val="both"/>
      <w:outlineLvl w:val="0"/>
    </w:pPr>
    <w:rPr>
      <w:rFonts w:ascii="Palatino Linotype" w:eastAsia="MS Gothic" w:hAnsi="Palatino Linotype" w:cs="Times New Roman"/>
      <w:b/>
      <w:smallCaps/>
      <w:color w:val="256D9D"/>
      <w:kern w:val="28"/>
      <w:sz w:val="24"/>
      <w:szCs w:val="32"/>
    </w:rPr>
  </w:style>
  <w:style w:type="paragraph" w:customStyle="1" w:styleId="Titolo31">
    <w:name w:val="Titolo 31"/>
    <w:basedOn w:val="Normale"/>
    <w:next w:val="Normale"/>
    <w:autoRedefine/>
    <w:uiPriority w:val="9"/>
    <w:unhideWhenUsed/>
    <w:qFormat/>
    <w:rsid w:val="00194D84"/>
    <w:pPr>
      <w:keepNext/>
      <w:keepLines/>
      <w:numPr>
        <w:ilvl w:val="2"/>
        <w:numId w:val="1"/>
      </w:numPr>
      <w:tabs>
        <w:tab w:val="num" w:pos="360"/>
      </w:tabs>
      <w:spacing w:after="240" w:line="288" w:lineRule="auto"/>
      <w:ind w:left="0" w:firstLine="0"/>
      <w:jc w:val="both"/>
      <w:outlineLvl w:val="2"/>
    </w:pPr>
    <w:rPr>
      <w:rFonts w:ascii="Palatino Linotype" w:eastAsia="MS Gothic" w:hAnsi="Palatino Linotype" w:cs="Times New Roman"/>
      <w:b/>
      <w:color w:val="256D9D"/>
      <w:sz w:val="24"/>
      <w:szCs w:val="24"/>
    </w:rPr>
  </w:style>
  <w:style w:type="character" w:styleId="Rimandonotaapidipagina">
    <w:name w:val="footnote reference"/>
    <w:basedOn w:val="Carpredefinitoparagrafo"/>
    <w:uiPriority w:val="99"/>
    <w:unhideWhenUsed/>
    <w:rsid w:val="00194D84"/>
    <w:rPr>
      <w:vertAlign w:val="superscript"/>
    </w:rPr>
  </w:style>
  <w:style w:type="table" w:customStyle="1" w:styleId="Tabellagriglia4-colore21">
    <w:name w:val="Tabella griglia 4 - colore 21"/>
    <w:basedOn w:val="Tabellanormale"/>
    <w:next w:val="Tabellagriglia4-colore2"/>
    <w:uiPriority w:val="49"/>
    <w:rsid w:val="00194D84"/>
    <w:pPr>
      <w:spacing w:after="0" w:line="240" w:lineRule="auto"/>
    </w:pPr>
    <w:rPr>
      <w:sz w:val="24"/>
      <w:szCs w:val="24"/>
    </w:rPr>
    <w:tblPr>
      <w:tblStyleRowBandSize w:val="1"/>
      <w:tblStyleColBandSize w:val="1"/>
      <w:tblBorders>
        <w:top w:val="single" w:sz="4" w:space="0" w:color="85BDE2"/>
        <w:left w:val="single" w:sz="4" w:space="0" w:color="85BDE2"/>
        <w:bottom w:val="single" w:sz="4" w:space="0" w:color="85BDE2"/>
        <w:right w:val="single" w:sz="4" w:space="0" w:color="85BDE2"/>
        <w:insideH w:val="single" w:sz="4" w:space="0" w:color="85BDE2"/>
        <w:insideV w:val="single" w:sz="4" w:space="0" w:color="85BDE2"/>
      </w:tblBorders>
    </w:tblPr>
    <w:tblStylePr w:type="firstRow">
      <w:rPr>
        <w:b/>
        <w:bCs/>
        <w:color w:val="FFFFFF"/>
      </w:rPr>
      <w:tblPr/>
      <w:tcPr>
        <w:tcBorders>
          <w:top w:val="single" w:sz="4" w:space="0" w:color="3592CF"/>
          <w:left w:val="single" w:sz="4" w:space="0" w:color="3592CF"/>
          <w:bottom w:val="single" w:sz="4" w:space="0" w:color="3592CF"/>
          <w:right w:val="single" w:sz="4" w:space="0" w:color="3592CF"/>
          <w:insideH w:val="nil"/>
          <w:insideV w:val="nil"/>
        </w:tcBorders>
        <w:shd w:val="clear" w:color="auto" w:fill="3592CF"/>
      </w:tcPr>
    </w:tblStylePr>
    <w:tblStylePr w:type="lastRow">
      <w:rPr>
        <w:b/>
        <w:bCs/>
      </w:rPr>
      <w:tblPr/>
      <w:tcPr>
        <w:tcBorders>
          <w:top w:val="double" w:sz="4" w:space="0" w:color="3592CF"/>
        </w:tcBorders>
      </w:tcPr>
    </w:tblStylePr>
    <w:tblStylePr w:type="firstCol">
      <w:rPr>
        <w:b/>
        <w:bCs/>
      </w:rPr>
    </w:tblStylePr>
    <w:tblStylePr w:type="lastCol">
      <w:rPr>
        <w:b/>
        <w:bCs/>
      </w:rPr>
    </w:tblStylePr>
    <w:tblStylePr w:type="band1Vert">
      <w:tblPr/>
      <w:tcPr>
        <w:shd w:val="clear" w:color="auto" w:fill="D6E9F5"/>
      </w:tcPr>
    </w:tblStylePr>
    <w:tblStylePr w:type="band1Horz">
      <w:tblPr/>
      <w:tcPr>
        <w:shd w:val="clear" w:color="auto" w:fill="D6E9F5"/>
      </w:tcPr>
    </w:tblStylePr>
  </w:style>
  <w:style w:type="paragraph" w:customStyle="1" w:styleId="Didascalia1">
    <w:name w:val="Didascalia1"/>
    <w:basedOn w:val="Normale"/>
    <w:next w:val="Normale"/>
    <w:uiPriority w:val="99"/>
    <w:unhideWhenUsed/>
    <w:rsid w:val="00194D84"/>
    <w:pPr>
      <w:spacing w:after="200" w:line="240" w:lineRule="auto"/>
      <w:jc w:val="both"/>
    </w:pPr>
    <w:rPr>
      <w:rFonts w:ascii="Palatino Linotype" w:eastAsia="MS Mincho" w:hAnsi="Palatino Linotype"/>
      <w:i/>
      <w:iCs/>
      <w:color w:val="082A75"/>
      <w:sz w:val="18"/>
      <w:szCs w:val="18"/>
    </w:rPr>
  </w:style>
  <w:style w:type="character" w:customStyle="1" w:styleId="Titolo1Carattere">
    <w:name w:val="Titolo 1 Carattere"/>
    <w:basedOn w:val="Carpredefinitoparagrafo"/>
    <w:link w:val="Titolo1"/>
    <w:uiPriority w:val="9"/>
    <w:rsid w:val="00194D84"/>
    <w:rPr>
      <w:rFonts w:asciiTheme="majorHAnsi" w:eastAsiaTheme="majorEastAsia" w:hAnsiTheme="majorHAnsi" w:cstheme="majorBidi"/>
      <w:color w:val="2F5496" w:themeColor="accent1" w:themeShade="BF"/>
      <w:sz w:val="32"/>
      <w:szCs w:val="32"/>
    </w:rPr>
  </w:style>
  <w:style w:type="table" w:styleId="Tabellagriglia4-colore2">
    <w:name w:val="Grid Table 4 Accent 2"/>
    <w:basedOn w:val="Tabellanormale"/>
    <w:uiPriority w:val="49"/>
    <w:rsid w:val="00194D8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B2DE82"/>
            </a:solidFill>
            <a:ln>
              <a:noFill/>
            </a:ln>
            <a:effectLst/>
            <a:sp3d/>
          </c:spPr>
          <c:invertIfNegative val="0"/>
          <c:dPt>
            <c:idx val="0"/>
            <c:invertIfNegative val="0"/>
            <c:bubble3D val="0"/>
            <c:spPr>
              <a:solidFill>
                <a:srgbClr val="0070C0"/>
              </a:solidFill>
              <a:ln>
                <a:noFill/>
              </a:ln>
              <a:effectLst/>
              <a:sp3d/>
            </c:spPr>
            <c:extLst>
              <c:ext xmlns:c16="http://schemas.microsoft.com/office/drawing/2014/chart" uri="{C3380CC4-5D6E-409C-BE32-E72D297353CC}">
                <c16:uniqueId val="{00000001-D2D9-4182-82C9-F25E32C23D21}"/>
              </c:ext>
            </c:extLst>
          </c:dPt>
          <c:dPt>
            <c:idx val="7"/>
            <c:invertIfNegative val="0"/>
            <c:bubble3D val="0"/>
            <c:extLst>
              <c:ext xmlns:c16="http://schemas.microsoft.com/office/drawing/2014/chart" uri="{C3380CC4-5D6E-409C-BE32-E72D297353CC}">
                <c16:uniqueId val="{00000003-D2D9-4182-82C9-F25E32C23D21}"/>
              </c:ext>
            </c:extLst>
          </c:dPt>
          <c:dPt>
            <c:idx val="8"/>
            <c:invertIfNegative val="0"/>
            <c:bubble3D val="0"/>
            <c:extLst>
              <c:ext xmlns:c16="http://schemas.microsoft.com/office/drawing/2014/chart" uri="{C3380CC4-5D6E-409C-BE32-E72D297353CC}">
                <c16:uniqueId val="{00000005-D2D9-4182-82C9-F25E32C23D21}"/>
              </c:ext>
            </c:extLst>
          </c:dPt>
          <c:dPt>
            <c:idx val="9"/>
            <c:invertIfNegative val="0"/>
            <c:bubble3D val="0"/>
            <c:spPr>
              <a:solidFill>
                <a:srgbClr val="FFFF5B"/>
              </a:solidFill>
              <a:ln>
                <a:noFill/>
              </a:ln>
              <a:effectLst/>
              <a:sp3d/>
            </c:spPr>
            <c:extLst>
              <c:ext xmlns:c16="http://schemas.microsoft.com/office/drawing/2014/chart" uri="{C3380CC4-5D6E-409C-BE32-E72D297353CC}">
                <c16:uniqueId val="{00000007-D2D9-4182-82C9-F25E32C23D21}"/>
              </c:ext>
            </c:extLst>
          </c:dPt>
          <c:dPt>
            <c:idx val="10"/>
            <c:invertIfNegative val="0"/>
            <c:bubble3D val="0"/>
            <c:spPr>
              <a:solidFill>
                <a:srgbClr val="FFFF5B"/>
              </a:solidFill>
              <a:ln>
                <a:noFill/>
              </a:ln>
              <a:effectLst/>
              <a:sp3d/>
            </c:spPr>
            <c:extLst>
              <c:ext xmlns:c16="http://schemas.microsoft.com/office/drawing/2014/chart" uri="{C3380CC4-5D6E-409C-BE32-E72D297353CC}">
                <c16:uniqueId val="{00000009-D2D9-4182-82C9-F25E32C23D21}"/>
              </c:ext>
            </c:extLst>
          </c:dPt>
          <c:dPt>
            <c:idx val="11"/>
            <c:invertIfNegative val="0"/>
            <c:bubble3D val="0"/>
            <c:spPr>
              <a:solidFill>
                <a:srgbClr val="FFFF5B"/>
              </a:solidFill>
              <a:ln>
                <a:noFill/>
              </a:ln>
              <a:effectLst/>
              <a:sp3d/>
            </c:spPr>
            <c:extLst>
              <c:ext xmlns:c16="http://schemas.microsoft.com/office/drawing/2014/chart" uri="{C3380CC4-5D6E-409C-BE32-E72D297353CC}">
                <c16:uniqueId val="{0000000B-D2D9-4182-82C9-F25E32C23D21}"/>
              </c:ext>
            </c:extLst>
          </c:dPt>
          <c:dPt>
            <c:idx val="12"/>
            <c:invertIfNegative val="0"/>
            <c:bubble3D val="0"/>
            <c:spPr>
              <a:solidFill>
                <a:srgbClr val="FFFF5B"/>
              </a:solidFill>
              <a:ln>
                <a:noFill/>
              </a:ln>
              <a:effectLst/>
              <a:sp3d/>
            </c:spPr>
            <c:extLst>
              <c:ext xmlns:c16="http://schemas.microsoft.com/office/drawing/2014/chart" uri="{C3380CC4-5D6E-409C-BE32-E72D297353CC}">
                <c16:uniqueId val="{0000000D-D2D9-4182-82C9-F25E32C23D21}"/>
              </c:ext>
            </c:extLst>
          </c:dPt>
          <c:dPt>
            <c:idx val="13"/>
            <c:invertIfNegative val="0"/>
            <c:bubble3D val="0"/>
            <c:spPr>
              <a:solidFill>
                <a:srgbClr val="FFFF5B"/>
              </a:solidFill>
              <a:ln>
                <a:noFill/>
              </a:ln>
              <a:effectLst/>
              <a:sp3d/>
            </c:spPr>
            <c:extLst>
              <c:ext xmlns:c16="http://schemas.microsoft.com/office/drawing/2014/chart" uri="{C3380CC4-5D6E-409C-BE32-E72D297353CC}">
                <c16:uniqueId val="{0000000F-D2D9-4182-82C9-F25E32C23D21}"/>
              </c:ext>
            </c:extLst>
          </c:dPt>
          <c:dPt>
            <c:idx val="14"/>
            <c:invertIfNegative val="0"/>
            <c:bubble3D val="0"/>
            <c:spPr>
              <a:solidFill>
                <a:srgbClr val="FFFF5B"/>
              </a:solidFill>
              <a:ln>
                <a:noFill/>
              </a:ln>
              <a:effectLst/>
              <a:sp3d/>
            </c:spPr>
            <c:extLst>
              <c:ext xmlns:c16="http://schemas.microsoft.com/office/drawing/2014/chart" uri="{C3380CC4-5D6E-409C-BE32-E72D297353CC}">
                <c16:uniqueId val="{00000011-D2D9-4182-82C9-F25E32C23D21}"/>
              </c:ext>
            </c:extLst>
          </c:dPt>
          <c:dPt>
            <c:idx val="15"/>
            <c:invertIfNegative val="0"/>
            <c:bubble3D val="0"/>
            <c:spPr>
              <a:solidFill>
                <a:srgbClr val="FFC1C1"/>
              </a:solidFill>
              <a:ln>
                <a:noFill/>
              </a:ln>
              <a:effectLst/>
              <a:sp3d/>
            </c:spPr>
            <c:extLst>
              <c:ext xmlns:c16="http://schemas.microsoft.com/office/drawing/2014/chart" uri="{C3380CC4-5D6E-409C-BE32-E72D297353CC}">
                <c16:uniqueId val="{00000013-D2D9-4182-82C9-F25E32C23D21}"/>
              </c:ext>
            </c:extLst>
          </c:dPt>
          <c:dPt>
            <c:idx val="16"/>
            <c:invertIfNegative val="0"/>
            <c:bubble3D val="0"/>
            <c:spPr>
              <a:solidFill>
                <a:srgbClr val="FFC1C1"/>
              </a:solidFill>
              <a:ln>
                <a:noFill/>
              </a:ln>
              <a:effectLst/>
              <a:sp3d/>
            </c:spPr>
            <c:extLst>
              <c:ext xmlns:c16="http://schemas.microsoft.com/office/drawing/2014/chart" uri="{C3380CC4-5D6E-409C-BE32-E72D297353CC}">
                <c16:uniqueId val="{00000015-D2D9-4182-82C9-F25E32C23D21}"/>
              </c:ext>
            </c:extLst>
          </c:dPt>
          <c:dPt>
            <c:idx val="17"/>
            <c:invertIfNegative val="0"/>
            <c:bubble3D val="0"/>
            <c:spPr>
              <a:solidFill>
                <a:srgbClr val="FFC1C1"/>
              </a:solidFill>
              <a:ln>
                <a:noFill/>
              </a:ln>
              <a:effectLst/>
              <a:sp3d/>
            </c:spPr>
            <c:extLst>
              <c:ext xmlns:c16="http://schemas.microsoft.com/office/drawing/2014/chart" uri="{C3380CC4-5D6E-409C-BE32-E72D297353CC}">
                <c16:uniqueId val="{00000017-D2D9-4182-82C9-F25E32C23D21}"/>
              </c:ext>
            </c:extLst>
          </c:dPt>
          <c:dPt>
            <c:idx val="18"/>
            <c:invertIfNegative val="0"/>
            <c:bubble3D val="0"/>
            <c:spPr>
              <a:solidFill>
                <a:srgbClr val="FFC1C1"/>
              </a:solidFill>
              <a:ln>
                <a:noFill/>
              </a:ln>
              <a:effectLst/>
              <a:sp3d/>
            </c:spPr>
            <c:extLst>
              <c:ext xmlns:c16="http://schemas.microsoft.com/office/drawing/2014/chart" uri="{C3380CC4-5D6E-409C-BE32-E72D297353CC}">
                <c16:uniqueId val="{00000019-D2D9-4182-82C9-F25E32C23D21}"/>
              </c:ext>
            </c:extLst>
          </c:dPt>
          <c:dPt>
            <c:idx val="19"/>
            <c:invertIfNegative val="0"/>
            <c:bubble3D val="0"/>
            <c:spPr>
              <a:solidFill>
                <a:srgbClr val="FFC1C1"/>
              </a:solidFill>
              <a:ln>
                <a:noFill/>
              </a:ln>
              <a:effectLst/>
              <a:sp3d/>
            </c:spPr>
            <c:extLst>
              <c:ext xmlns:c16="http://schemas.microsoft.com/office/drawing/2014/chart" uri="{C3380CC4-5D6E-409C-BE32-E72D297353CC}">
                <c16:uniqueId val="{0000001B-D2D9-4182-82C9-F25E32C23D21}"/>
              </c:ext>
            </c:extLst>
          </c:dPt>
          <c:dPt>
            <c:idx val="20"/>
            <c:invertIfNegative val="0"/>
            <c:bubble3D val="0"/>
            <c:spPr>
              <a:solidFill>
                <a:srgbClr val="FFC1C1"/>
              </a:solidFill>
              <a:ln>
                <a:noFill/>
              </a:ln>
              <a:effectLst/>
              <a:sp3d/>
            </c:spPr>
            <c:extLst>
              <c:ext xmlns:c16="http://schemas.microsoft.com/office/drawing/2014/chart" uri="{C3380CC4-5D6E-409C-BE32-E72D297353CC}">
                <c16:uniqueId val="{0000001D-D2D9-4182-82C9-F25E32C23D21}"/>
              </c:ext>
            </c:extLst>
          </c:dPt>
          <c:dPt>
            <c:idx val="21"/>
            <c:invertIfNegative val="0"/>
            <c:bubble3D val="0"/>
            <c:spPr>
              <a:solidFill>
                <a:srgbClr val="FF7C80"/>
              </a:solidFill>
              <a:ln>
                <a:noFill/>
              </a:ln>
              <a:effectLst/>
              <a:sp3d/>
            </c:spPr>
            <c:extLst>
              <c:ext xmlns:c16="http://schemas.microsoft.com/office/drawing/2014/chart" uri="{C3380CC4-5D6E-409C-BE32-E72D297353CC}">
                <c16:uniqueId val="{0000001F-D2D9-4182-82C9-F25E32C23D21}"/>
              </c:ext>
            </c:extLst>
          </c:dPt>
          <c:dPt>
            <c:idx val="22"/>
            <c:invertIfNegative val="0"/>
            <c:bubble3D val="0"/>
            <c:spPr>
              <a:solidFill>
                <a:srgbClr val="FF7C80"/>
              </a:solidFill>
              <a:ln>
                <a:noFill/>
              </a:ln>
              <a:effectLst/>
              <a:sp3d/>
            </c:spPr>
            <c:extLst>
              <c:ext xmlns:c16="http://schemas.microsoft.com/office/drawing/2014/chart" uri="{C3380CC4-5D6E-409C-BE32-E72D297353CC}">
                <c16:uniqueId val="{00000021-D2D9-4182-82C9-F25E32C23D21}"/>
              </c:ext>
            </c:extLst>
          </c:dPt>
          <c:dPt>
            <c:idx val="23"/>
            <c:invertIfNegative val="0"/>
            <c:bubble3D val="0"/>
            <c:spPr>
              <a:solidFill>
                <a:srgbClr val="FF7C80"/>
              </a:solidFill>
              <a:ln>
                <a:noFill/>
              </a:ln>
              <a:effectLst/>
              <a:sp3d/>
            </c:spPr>
            <c:extLst>
              <c:ext xmlns:c16="http://schemas.microsoft.com/office/drawing/2014/chart" uri="{C3380CC4-5D6E-409C-BE32-E72D297353CC}">
                <c16:uniqueId val="{00000023-D2D9-4182-82C9-F25E32C23D21}"/>
              </c:ext>
            </c:extLst>
          </c:dPt>
          <c:dPt>
            <c:idx val="24"/>
            <c:invertIfNegative val="0"/>
            <c:bubble3D val="0"/>
            <c:spPr>
              <a:solidFill>
                <a:srgbClr val="FF7C80"/>
              </a:solidFill>
              <a:ln>
                <a:noFill/>
              </a:ln>
              <a:effectLst/>
              <a:sp3d/>
            </c:spPr>
            <c:extLst>
              <c:ext xmlns:c16="http://schemas.microsoft.com/office/drawing/2014/chart" uri="{C3380CC4-5D6E-409C-BE32-E72D297353CC}">
                <c16:uniqueId val="{00000025-D2D9-4182-82C9-F25E32C23D21}"/>
              </c:ext>
            </c:extLst>
          </c:dPt>
          <c:dPt>
            <c:idx val="25"/>
            <c:invertIfNegative val="0"/>
            <c:bubble3D val="0"/>
            <c:spPr>
              <a:solidFill>
                <a:srgbClr val="E7E6E6">
                  <a:lumMod val="50000"/>
                </a:srgbClr>
              </a:solidFill>
              <a:ln>
                <a:noFill/>
              </a:ln>
              <a:effectLst/>
              <a:sp3d/>
            </c:spPr>
            <c:extLst>
              <c:ext xmlns:c16="http://schemas.microsoft.com/office/drawing/2014/chart" uri="{C3380CC4-5D6E-409C-BE32-E72D297353CC}">
                <c16:uniqueId val="{00000027-D2D9-4182-82C9-F25E32C23D21}"/>
              </c:ext>
            </c:extLst>
          </c:dPt>
          <c:dPt>
            <c:idx val="26"/>
            <c:invertIfNegative val="0"/>
            <c:bubble3D val="0"/>
            <c:spPr>
              <a:solidFill>
                <a:srgbClr val="E7E6E6">
                  <a:lumMod val="50000"/>
                </a:srgbClr>
              </a:solidFill>
              <a:ln>
                <a:noFill/>
              </a:ln>
              <a:effectLst/>
              <a:sp3d/>
            </c:spPr>
            <c:extLst>
              <c:ext xmlns:c16="http://schemas.microsoft.com/office/drawing/2014/chart" uri="{C3380CC4-5D6E-409C-BE32-E72D297353CC}">
                <c16:uniqueId val="{00000029-D2D9-4182-82C9-F25E32C23D21}"/>
              </c:ext>
            </c:extLst>
          </c:dPt>
          <c:dPt>
            <c:idx val="27"/>
            <c:invertIfNegative val="0"/>
            <c:bubble3D val="0"/>
            <c:spPr>
              <a:solidFill>
                <a:srgbClr val="E7E6E6">
                  <a:lumMod val="50000"/>
                </a:srgbClr>
              </a:solidFill>
              <a:ln>
                <a:noFill/>
              </a:ln>
              <a:effectLst/>
              <a:sp3d/>
            </c:spPr>
            <c:extLst>
              <c:ext xmlns:c16="http://schemas.microsoft.com/office/drawing/2014/chart" uri="{C3380CC4-5D6E-409C-BE32-E72D297353CC}">
                <c16:uniqueId val="{0000002B-D2D9-4182-82C9-F25E32C23D21}"/>
              </c:ext>
            </c:extLst>
          </c:dPt>
          <c:dPt>
            <c:idx val="28"/>
            <c:invertIfNegative val="0"/>
            <c:bubble3D val="0"/>
            <c:spPr>
              <a:solidFill>
                <a:srgbClr val="E7E6E6">
                  <a:lumMod val="50000"/>
                </a:srgbClr>
              </a:solidFill>
              <a:ln>
                <a:noFill/>
              </a:ln>
              <a:effectLst/>
              <a:sp3d/>
            </c:spPr>
            <c:extLst>
              <c:ext xmlns:c16="http://schemas.microsoft.com/office/drawing/2014/chart" uri="{C3380CC4-5D6E-409C-BE32-E72D297353CC}">
                <c16:uniqueId val="{0000002D-D2D9-4182-82C9-F25E32C23D21}"/>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'[Tabellone 29 Unioni.xlsx]Rep macro'!$C$2:$C$30</c:f>
              <c:strCache>
                <c:ptCount val="29"/>
                <c:pt idx="0">
                  <c:v>UM Valli Orco e Soana</c:v>
                </c:pt>
                <c:pt idx="1">
                  <c:v>U Terre dell`Ufita</c:v>
                </c:pt>
                <c:pt idx="2">
                  <c:v>Comune Terre Roveresche</c:v>
                </c:pt>
                <c:pt idx="3">
                  <c:v>UC Garfagnana</c:v>
                </c:pt>
                <c:pt idx="4">
                  <c:v>UC Marca Occidentale</c:v>
                </c:pt>
                <c:pt idx="5">
                  <c:v>FC Camposampierese</c:v>
                </c:pt>
                <c:pt idx="6">
                  <c:v>UC Riviera del Brenta</c:v>
                </c:pt>
                <c:pt idx="7">
                  <c:v>UC Terre e fiumi</c:v>
                </c:pt>
                <c:pt idx="8">
                  <c:v>U Fossanese</c:v>
                </c:pt>
                <c:pt idx="9">
                  <c:v>UC Valmarecchia</c:v>
                </c:pt>
                <c:pt idx="10">
                  <c:v>U Reno Galliera</c:v>
                </c:pt>
                <c:pt idx="11">
                  <c:v>UC Taro e Ceno</c:v>
                </c:pt>
                <c:pt idx="12">
                  <c:v>UC Caldogno, Costabissara, Isola Vicentina</c:v>
                </c:pt>
                <c:pt idx="13">
                  <c:v>UC Valle del Savio</c:v>
                </c:pt>
                <c:pt idx="14">
                  <c:v>UC Circondario dell`Empolese Valdelsa</c:v>
                </c:pt>
                <c:pt idx="15">
                  <c:v>U Val Vibrata</c:v>
                </c:pt>
                <c:pt idx="16">
                  <c:v>UM Potenza Esino Musone</c:v>
                </c:pt>
                <c:pt idx="17">
                  <c:v>U Valdera</c:v>
                </c:pt>
                <c:pt idx="18">
                  <c:v>U Pian del Bruscolo</c:v>
                </c:pt>
                <c:pt idx="19">
                  <c:v>U Romagna Faentina</c:v>
                </c:pt>
                <c:pt idx="20">
                  <c:v>UM Val Gallenca</c:v>
                </c:pt>
                <c:pt idx="21">
                  <c:v>UC Bassa Reggiana</c:v>
                </c:pt>
                <c:pt idx="22">
                  <c:v>UC Montani Appennino Pistoiese</c:v>
                </c:pt>
                <c:pt idx="23">
                  <c:v>Platani Quisquina Magazzolo</c:v>
                </c:pt>
                <c:pt idx="24">
                  <c:v>UC Valdichiana senese</c:v>
                </c:pt>
                <c:pt idx="25">
                  <c:v>Valle del Belice</c:v>
                </c:pt>
                <c:pt idx="26">
                  <c:v>U Valle del Torbido</c:v>
                </c:pt>
                <c:pt idx="27">
                  <c:v>UT Intercomunale Collio-Alto Isonzo</c:v>
                </c:pt>
                <c:pt idx="28">
                  <c:v>U Madonie</c:v>
                </c:pt>
              </c:strCache>
            </c:strRef>
          </c:cat>
          <c:val>
            <c:numRef>
              <c:f>'[Tabellone 29 Unioni.xlsx]Rep macro'!$D$2:$D$30</c:f>
              <c:numCache>
                <c:formatCode>General</c:formatCode>
                <c:ptCount val="29"/>
                <c:pt idx="0">
                  <c:v>93</c:v>
                </c:pt>
                <c:pt idx="1">
                  <c:v>73</c:v>
                </c:pt>
                <c:pt idx="2">
                  <c:v>67</c:v>
                </c:pt>
                <c:pt idx="3">
                  <c:v>64</c:v>
                </c:pt>
                <c:pt idx="4">
                  <c:v>63</c:v>
                </c:pt>
                <c:pt idx="5">
                  <c:v>63</c:v>
                </c:pt>
                <c:pt idx="6">
                  <c:v>62</c:v>
                </c:pt>
                <c:pt idx="7">
                  <c:v>62</c:v>
                </c:pt>
                <c:pt idx="8">
                  <c:v>60</c:v>
                </c:pt>
                <c:pt idx="9">
                  <c:v>59</c:v>
                </c:pt>
                <c:pt idx="10">
                  <c:v>57</c:v>
                </c:pt>
                <c:pt idx="11">
                  <c:v>57</c:v>
                </c:pt>
                <c:pt idx="12">
                  <c:v>56</c:v>
                </c:pt>
                <c:pt idx="13">
                  <c:v>52</c:v>
                </c:pt>
                <c:pt idx="14">
                  <c:v>51</c:v>
                </c:pt>
                <c:pt idx="15">
                  <c:v>45</c:v>
                </c:pt>
                <c:pt idx="16">
                  <c:v>45</c:v>
                </c:pt>
                <c:pt idx="17">
                  <c:v>44</c:v>
                </c:pt>
                <c:pt idx="18">
                  <c:v>44</c:v>
                </c:pt>
                <c:pt idx="19">
                  <c:v>42</c:v>
                </c:pt>
                <c:pt idx="20">
                  <c:v>41</c:v>
                </c:pt>
                <c:pt idx="21">
                  <c:v>38</c:v>
                </c:pt>
                <c:pt idx="22">
                  <c:v>34</c:v>
                </c:pt>
                <c:pt idx="23">
                  <c:v>27</c:v>
                </c:pt>
                <c:pt idx="24">
                  <c:v>22</c:v>
                </c:pt>
                <c:pt idx="25">
                  <c:v>0</c:v>
                </c:pt>
                <c:pt idx="26">
                  <c:v>0</c:v>
                </c:pt>
                <c:pt idx="27">
                  <c:v>0</c:v>
                </c:pt>
                <c:pt idx="28">
                  <c:v>0</c:v>
                </c:pt>
              </c:numCache>
            </c:numRef>
          </c:val>
          <c:extLst>
            <c:ext xmlns:c16="http://schemas.microsoft.com/office/drawing/2014/chart" uri="{C3380CC4-5D6E-409C-BE32-E72D297353CC}">
              <c16:uniqueId val="{0000002E-D2D9-4182-82C9-F25E32C23D21}"/>
            </c:ext>
          </c:extLst>
        </c:ser>
        <c:dLbls>
          <c:showLegendKey val="0"/>
          <c:showVal val="1"/>
          <c:showCatName val="0"/>
          <c:showSerName val="0"/>
          <c:showPercent val="0"/>
          <c:showBubbleSize val="0"/>
        </c:dLbls>
        <c:gapWidth val="75"/>
        <c:shape val="box"/>
        <c:axId val="1189434048"/>
        <c:axId val="1189432800"/>
        <c:axId val="0"/>
      </c:bar3DChart>
      <c:catAx>
        <c:axId val="1189434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189432800"/>
        <c:crosses val="autoZero"/>
        <c:auto val="1"/>
        <c:lblAlgn val="ctr"/>
        <c:lblOffset val="100"/>
        <c:noMultiLvlLbl val="0"/>
      </c:catAx>
      <c:valAx>
        <c:axId val="11894328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189434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Palatino Linotype" panose="02040502050505030304" pitchFamily="18" charset="0"/>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spPr>
            <a:ln w="28575" cap="rnd">
              <a:solidFill>
                <a:schemeClr val="accent1"/>
              </a:solidFill>
              <a:round/>
            </a:ln>
            <a:effectLst/>
          </c:spPr>
          <c:marker>
            <c:symbol val="circle"/>
            <c:size val="5"/>
            <c:spPr>
              <a:solidFill>
                <a:srgbClr val="FFFF5B"/>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'[Tabellone 29 Unioni rev RC.xlsx]M1'!$C$3:$C$27</c:f>
              <c:strCache>
                <c:ptCount val="25"/>
                <c:pt idx="0">
                  <c:v>FC Camposampierese</c:v>
                </c:pt>
                <c:pt idx="1">
                  <c:v>UM Valli Orco e Soana</c:v>
                </c:pt>
                <c:pt idx="2">
                  <c:v>C Terre Roveresche</c:v>
                </c:pt>
                <c:pt idx="3">
                  <c:v>U Terre dell`Ufita</c:v>
                </c:pt>
                <c:pt idx="4">
                  <c:v>UC Riviera del Brenta</c:v>
                </c:pt>
                <c:pt idx="5">
                  <c:v>UC Caldogno, Costabissara, Isola Vicentina</c:v>
                </c:pt>
                <c:pt idx="6">
                  <c:v>U Pian del Bruscolo</c:v>
                </c:pt>
                <c:pt idx="7">
                  <c:v>UC Marca Occidentale</c:v>
                </c:pt>
                <c:pt idx="8">
                  <c:v>UC Circondario dell`Empolese Valdelsa</c:v>
                </c:pt>
                <c:pt idx="9">
                  <c:v>U Valdera</c:v>
                </c:pt>
                <c:pt idx="10">
                  <c:v>UC Montani Appennino Pistoiese</c:v>
                </c:pt>
                <c:pt idx="11">
                  <c:v>U Fossanese</c:v>
                </c:pt>
                <c:pt idx="12">
                  <c:v>UC Terre e Fiumi</c:v>
                </c:pt>
                <c:pt idx="13">
                  <c:v>U Reno Galliera</c:v>
                </c:pt>
                <c:pt idx="14">
                  <c:v>UC Garfagnana</c:v>
                </c:pt>
                <c:pt idx="15">
                  <c:v>UC Bassa Reggiana</c:v>
                </c:pt>
                <c:pt idx="16">
                  <c:v>UM Potenza Esino Musone</c:v>
                </c:pt>
                <c:pt idx="17">
                  <c:v>UC Valdichiana senese</c:v>
                </c:pt>
                <c:pt idx="18">
                  <c:v>UC Valmarecchia</c:v>
                </c:pt>
                <c:pt idx="19">
                  <c:v>U Romagna Faentina</c:v>
                </c:pt>
                <c:pt idx="20">
                  <c:v>UC Valle del Savio</c:v>
                </c:pt>
                <c:pt idx="21">
                  <c:v>UC Taro e Ceno</c:v>
                </c:pt>
                <c:pt idx="22">
                  <c:v>U Val Vibrata</c:v>
                </c:pt>
                <c:pt idx="23">
                  <c:v>UM Val Gallenca</c:v>
                </c:pt>
                <c:pt idx="24">
                  <c:v>Platani Quisquina Magazzolo</c:v>
                </c:pt>
              </c:strCache>
            </c:strRef>
          </c:cat>
          <c:val>
            <c:numRef>
              <c:f>'[Tabellone 29 Unioni rev RC.xlsx]M1'!$D$3:$D$27</c:f>
              <c:numCache>
                <c:formatCode>0</c:formatCode>
                <c:ptCount val="25"/>
                <c:pt idx="0">
                  <c:v>97.92</c:v>
                </c:pt>
                <c:pt idx="1">
                  <c:v>91.83</c:v>
                </c:pt>
                <c:pt idx="2">
                  <c:v>75.86</c:v>
                </c:pt>
                <c:pt idx="3">
                  <c:v>67.88</c:v>
                </c:pt>
                <c:pt idx="4">
                  <c:v>64.5</c:v>
                </c:pt>
                <c:pt idx="5">
                  <c:v>61.11</c:v>
                </c:pt>
                <c:pt idx="6">
                  <c:v>55.79</c:v>
                </c:pt>
                <c:pt idx="7">
                  <c:v>55.65</c:v>
                </c:pt>
                <c:pt idx="8">
                  <c:v>43.62</c:v>
                </c:pt>
                <c:pt idx="9">
                  <c:v>37.299999999999997</c:v>
                </c:pt>
                <c:pt idx="10">
                  <c:v>35.07</c:v>
                </c:pt>
                <c:pt idx="11">
                  <c:v>32.11</c:v>
                </c:pt>
                <c:pt idx="12">
                  <c:v>31.04</c:v>
                </c:pt>
                <c:pt idx="13">
                  <c:v>27.65</c:v>
                </c:pt>
                <c:pt idx="14">
                  <c:v>21.75</c:v>
                </c:pt>
                <c:pt idx="15">
                  <c:v>19.75</c:v>
                </c:pt>
                <c:pt idx="16">
                  <c:v>17.260000000000002</c:v>
                </c:pt>
                <c:pt idx="17">
                  <c:v>15.26</c:v>
                </c:pt>
                <c:pt idx="18">
                  <c:v>14.02</c:v>
                </c:pt>
                <c:pt idx="19">
                  <c:v>11.43</c:v>
                </c:pt>
                <c:pt idx="20">
                  <c:v>6.05</c:v>
                </c:pt>
                <c:pt idx="21">
                  <c:v>4.47</c:v>
                </c:pt>
                <c:pt idx="22">
                  <c:v>2.5</c:v>
                </c:pt>
                <c:pt idx="23">
                  <c:v>0.96</c:v>
                </c:pt>
                <c:pt idx="24">
                  <c:v>0</c:v>
                </c:pt>
              </c:numCache>
            </c:numRef>
          </c:val>
          <c:smooth val="0"/>
          <c:extLst>
            <c:ext xmlns:c16="http://schemas.microsoft.com/office/drawing/2014/chart" uri="{C3380CC4-5D6E-409C-BE32-E72D297353CC}">
              <c16:uniqueId val="{00000000-957F-452A-B26B-BC953C853D81}"/>
            </c:ext>
          </c:extLst>
        </c:ser>
        <c:dLbls>
          <c:showLegendKey val="0"/>
          <c:showVal val="1"/>
          <c:showCatName val="0"/>
          <c:showSerName val="0"/>
          <c:showPercent val="0"/>
          <c:showBubbleSize val="0"/>
        </c:dLbls>
        <c:marker val="1"/>
        <c:smooth val="0"/>
        <c:axId val="1406335200"/>
        <c:axId val="1406335616"/>
      </c:lineChart>
      <c:catAx>
        <c:axId val="140633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406335616"/>
        <c:crosses val="autoZero"/>
        <c:auto val="1"/>
        <c:lblAlgn val="ctr"/>
        <c:lblOffset val="100"/>
        <c:noMultiLvlLbl val="0"/>
      </c:catAx>
      <c:valAx>
        <c:axId val="14063356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40633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latin typeface="Palatino Linotype" panose="02040502050505030304" pitchFamily="18" charset="0"/>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38937738452796494"/>
          <c:y val="2.4977293369663943E-2"/>
          <c:w val="0.58433395567822066"/>
          <c:h val="0.91838092786085668"/>
        </c:manualLayout>
      </c:layout>
      <c:bar3DChart>
        <c:barDir val="bar"/>
        <c:grouping val="clustered"/>
        <c:varyColors val="0"/>
        <c:ser>
          <c:idx val="0"/>
          <c:order val="0"/>
          <c:spPr>
            <a:solidFill>
              <a:srgbClr val="66B2CA">
                <a:lumMod val="40000"/>
                <a:lumOff val="60000"/>
              </a:srgb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'[Tabellone 29 Unioni rev RC.xlsx]M1'!$C$101:$C$125</c:f>
              <c:strCache>
                <c:ptCount val="25"/>
                <c:pt idx="0">
                  <c:v>Platani Quisquina Magazzolo</c:v>
                </c:pt>
                <c:pt idx="1">
                  <c:v>UC Caldogno, Costabissara, Isola Vicentina</c:v>
                </c:pt>
                <c:pt idx="2">
                  <c:v>UC Montani Appennino Pistoiese</c:v>
                </c:pt>
                <c:pt idx="3">
                  <c:v>FC Camposampierese</c:v>
                </c:pt>
                <c:pt idx="4">
                  <c:v>U Romagna Faentina</c:v>
                </c:pt>
                <c:pt idx="5">
                  <c:v>UC Valdichiana senese</c:v>
                </c:pt>
                <c:pt idx="6">
                  <c:v>UC Garfagnana</c:v>
                </c:pt>
                <c:pt idx="7">
                  <c:v>UC Terre e Fiumi</c:v>
                </c:pt>
                <c:pt idx="8">
                  <c:v>U Fossanese</c:v>
                </c:pt>
                <c:pt idx="9">
                  <c:v>UC Valmarecchia</c:v>
                </c:pt>
                <c:pt idx="10">
                  <c:v>C Terre Roveresche</c:v>
                </c:pt>
                <c:pt idx="11">
                  <c:v>UM Val Gallenca</c:v>
                </c:pt>
                <c:pt idx="12">
                  <c:v>UM Potenza Esino Musone</c:v>
                </c:pt>
                <c:pt idx="13">
                  <c:v>U Reno Galliera</c:v>
                </c:pt>
                <c:pt idx="14">
                  <c:v>UC Bassa Reggiana</c:v>
                </c:pt>
                <c:pt idx="15">
                  <c:v>UC Circondario dell`Empolese Valdelsa</c:v>
                </c:pt>
                <c:pt idx="16">
                  <c:v>UC Valle del Savio</c:v>
                </c:pt>
                <c:pt idx="17">
                  <c:v>UC Riviera del Brenta</c:v>
                </c:pt>
                <c:pt idx="18">
                  <c:v>U Valdera</c:v>
                </c:pt>
                <c:pt idx="19">
                  <c:v>UC Taro e Ceno</c:v>
                </c:pt>
                <c:pt idx="20">
                  <c:v>U Terre dell`Ufita</c:v>
                </c:pt>
                <c:pt idx="21">
                  <c:v>UC Marca Occidentale</c:v>
                </c:pt>
                <c:pt idx="22">
                  <c:v>U Pian del Bruscolo</c:v>
                </c:pt>
                <c:pt idx="23">
                  <c:v>UM Valli Orco e Soana</c:v>
                </c:pt>
                <c:pt idx="24">
                  <c:v>U Val Vibrata</c:v>
                </c:pt>
              </c:strCache>
            </c:strRef>
          </c:cat>
          <c:val>
            <c:numRef>
              <c:f>'[Tabellone 29 Unioni rev RC.xlsx]M1'!$D$101:$D$125</c:f>
              <c:numCache>
                <c:formatCode>0</c:formatCode>
                <c:ptCount val="25"/>
                <c:pt idx="0">
                  <c:v>71.98</c:v>
                </c:pt>
                <c:pt idx="1">
                  <c:v>71.2</c:v>
                </c:pt>
                <c:pt idx="2">
                  <c:v>51.07</c:v>
                </c:pt>
                <c:pt idx="3">
                  <c:v>50.39</c:v>
                </c:pt>
                <c:pt idx="4">
                  <c:v>49.25</c:v>
                </c:pt>
                <c:pt idx="5">
                  <c:v>43.2</c:v>
                </c:pt>
                <c:pt idx="6">
                  <c:v>40.33</c:v>
                </c:pt>
                <c:pt idx="7">
                  <c:v>33.119999999999997</c:v>
                </c:pt>
                <c:pt idx="8">
                  <c:v>29.83</c:v>
                </c:pt>
                <c:pt idx="9">
                  <c:v>27.83</c:v>
                </c:pt>
                <c:pt idx="10">
                  <c:v>27.34</c:v>
                </c:pt>
                <c:pt idx="11">
                  <c:v>26.98</c:v>
                </c:pt>
                <c:pt idx="12">
                  <c:v>26.19</c:v>
                </c:pt>
                <c:pt idx="13">
                  <c:v>25.24</c:v>
                </c:pt>
                <c:pt idx="14">
                  <c:v>23.53</c:v>
                </c:pt>
                <c:pt idx="15">
                  <c:v>23.06</c:v>
                </c:pt>
                <c:pt idx="16">
                  <c:v>22.23</c:v>
                </c:pt>
                <c:pt idx="17">
                  <c:v>20.89</c:v>
                </c:pt>
                <c:pt idx="18">
                  <c:v>19.09</c:v>
                </c:pt>
                <c:pt idx="19">
                  <c:v>16.21</c:v>
                </c:pt>
                <c:pt idx="20">
                  <c:v>13.77</c:v>
                </c:pt>
                <c:pt idx="21">
                  <c:v>12.03</c:v>
                </c:pt>
                <c:pt idx="22">
                  <c:v>10.119999999999999</c:v>
                </c:pt>
                <c:pt idx="23">
                  <c:v>4.3499999999999996</c:v>
                </c:pt>
                <c:pt idx="24">
                  <c:v>1.87</c:v>
                </c:pt>
              </c:numCache>
            </c:numRef>
          </c:val>
          <c:extLst>
            <c:ext xmlns:c16="http://schemas.microsoft.com/office/drawing/2014/chart" uri="{C3380CC4-5D6E-409C-BE32-E72D297353CC}">
              <c16:uniqueId val="{00000000-2E10-47EE-A723-8FA2245E2F37}"/>
            </c:ext>
          </c:extLst>
        </c:ser>
        <c:dLbls>
          <c:showLegendKey val="0"/>
          <c:showVal val="1"/>
          <c:showCatName val="0"/>
          <c:showSerName val="0"/>
          <c:showPercent val="0"/>
          <c:showBubbleSize val="0"/>
        </c:dLbls>
        <c:gapWidth val="75"/>
        <c:shape val="box"/>
        <c:axId val="1307063344"/>
        <c:axId val="1307070000"/>
        <c:axId val="0"/>
      </c:bar3DChart>
      <c:catAx>
        <c:axId val="130706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307070000"/>
        <c:crosses val="autoZero"/>
        <c:auto val="1"/>
        <c:lblAlgn val="ctr"/>
        <c:lblOffset val="100"/>
        <c:noMultiLvlLbl val="0"/>
      </c:catAx>
      <c:valAx>
        <c:axId val="1307070000"/>
        <c:scaling>
          <c:orientation val="minMax"/>
          <c:max val="10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307063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Palatino Linotype" panose="02040502050505030304" pitchFamily="18" charset="0"/>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5">
                  <a:lumMod val="75000"/>
                </a:schemeClr>
              </a:solidFill>
              <a:round/>
            </a:ln>
            <a:effectLst/>
          </c:spPr>
          <c:marker>
            <c:symbol val="circle"/>
            <c:size val="5"/>
            <c:spPr>
              <a:solidFill>
                <a:srgbClr val="FFFF5B"/>
              </a:solidFill>
              <a:ln w="9525">
                <a:solidFill>
                  <a:schemeClr val="accent5">
                    <a:lumMod val="75000"/>
                  </a:schemeClr>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'[Tabellone 29 Unioni rev RC.xlsx]M1'!$C$167:$C$191</c:f>
              <c:strCache>
                <c:ptCount val="25"/>
                <c:pt idx="0">
                  <c:v>UM Val Gallenca</c:v>
                </c:pt>
                <c:pt idx="1">
                  <c:v>UC Garfagnana</c:v>
                </c:pt>
                <c:pt idx="2">
                  <c:v>U Fossanese</c:v>
                </c:pt>
                <c:pt idx="3">
                  <c:v>C Terre Roveresche</c:v>
                </c:pt>
                <c:pt idx="4">
                  <c:v>UM Valli Orco e Soana</c:v>
                </c:pt>
                <c:pt idx="5">
                  <c:v>U Reno Galliera</c:v>
                </c:pt>
                <c:pt idx="6">
                  <c:v>UM Potenza Esino Musone</c:v>
                </c:pt>
                <c:pt idx="7">
                  <c:v>UC Taro e Ceno</c:v>
                </c:pt>
                <c:pt idx="8">
                  <c:v>UC Valle del Savio</c:v>
                </c:pt>
                <c:pt idx="9">
                  <c:v>UC Valmarecchia</c:v>
                </c:pt>
                <c:pt idx="10">
                  <c:v>UC Caldogno, Costabissara, Isola Vicentina</c:v>
                </c:pt>
                <c:pt idx="11">
                  <c:v>U Romagna Faentina</c:v>
                </c:pt>
                <c:pt idx="12">
                  <c:v>FC Camposampierese</c:v>
                </c:pt>
                <c:pt idx="13">
                  <c:v>UC Montani Appennino Pistoiese</c:v>
                </c:pt>
                <c:pt idx="14">
                  <c:v>UC Valdichiana senese</c:v>
                </c:pt>
                <c:pt idx="15">
                  <c:v>UC Terre e Fiumi</c:v>
                </c:pt>
                <c:pt idx="16">
                  <c:v>UC Riviera del Brenta</c:v>
                </c:pt>
                <c:pt idx="17">
                  <c:v>U Pian del Bruscolo</c:v>
                </c:pt>
                <c:pt idx="18">
                  <c:v>U Valdera</c:v>
                </c:pt>
                <c:pt idx="19">
                  <c:v>UC Circondario dell`Empolese Valdelsa</c:v>
                </c:pt>
                <c:pt idx="20">
                  <c:v>UC Marca Occidentale</c:v>
                </c:pt>
                <c:pt idx="21">
                  <c:v>UC Bassa Reggiana</c:v>
                </c:pt>
                <c:pt idx="22">
                  <c:v>U Val Vibrata</c:v>
                </c:pt>
                <c:pt idx="23">
                  <c:v>U Terre dell`Ufita</c:v>
                </c:pt>
                <c:pt idx="24">
                  <c:v>Platani Quisquina Magazzolo</c:v>
                </c:pt>
              </c:strCache>
            </c:strRef>
          </c:cat>
          <c:val>
            <c:numRef>
              <c:f>'[Tabellone 29 Unioni rev RC.xlsx]M1'!$D$167:$D$191</c:f>
              <c:numCache>
                <c:formatCode>0</c:formatCode>
                <c:ptCount val="25"/>
                <c:pt idx="0">
                  <c:v>86.33</c:v>
                </c:pt>
                <c:pt idx="1">
                  <c:v>80.39</c:v>
                </c:pt>
                <c:pt idx="2">
                  <c:v>27.81</c:v>
                </c:pt>
                <c:pt idx="3">
                  <c:v>23.07</c:v>
                </c:pt>
                <c:pt idx="4">
                  <c:v>19.649999999999999</c:v>
                </c:pt>
                <c:pt idx="5">
                  <c:v>19.29</c:v>
                </c:pt>
                <c:pt idx="6">
                  <c:v>15.37</c:v>
                </c:pt>
                <c:pt idx="7">
                  <c:v>12.41</c:v>
                </c:pt>
                <c:pt idx="8">
                  <c:v>11.37</c:v>
                </c:pt>
                <c:pt idx="9">
                  <c:v>9.81</c:v>
                </c:pt>
                <c:pt idx="10">
                  <c:v>9.66</c:v>
                </c:pt>
                <c:pt idx="11">
                  <c:v>8.91</c:v>
                </c:pt>
                <c:pt idx="12">
                  <c:v>7.86</c:v>
                </c:pt>
                <c:pt idx="13">
                  <c:v>7.58</c:v>
                </c:pt>
                <c:pt idx="14">
                  <c:v>6.74</c:v>
                </c:pt>
                <c:pt idx="15">
                  <c:v>4.5999999999999996</c:v>
                </c:pt>
                <c:pt idx="16">
                  <c:v>4.1399999999999997</c:v>
                </c:pt>
                <c:pt idx="17">
                  <c:v>3.92</c:v>
                </c:pt>
                <c:pt idx="18" formatCode="0.0">
                  <c:v>0.92</c:v>
                </c:pt>
                <c:pt idx="19" formatCode="0.0">
                  <c:v>0.5</c:v>
                </c:pt>
                <c:pt idx="20" formatCode="0.0">
                  <c:v>0.35</c:v>
                </c:pt>
                <c:pt idx="21" formatCode="0.0">
                  <c:v>0.21</c:v>
                </c:pt>
                <c:pt idx="22" formatCode="0.0">
                  <c:v>0</c:v>
                </c:pt>
                <c:pt idx="23" formatCode="0.0">
                  <c:v>0</c:v>
                </c:pt>
                <c:pt idx="24" formatCode="0.0">
                  <c:v>0</c:v>
                </c:pt>
              </c:numCache>
            </c:numRef>
          </c:val>
          <c:smooth val="0"/>
          <c:extLst>
            <c:ext xmlns:c16="http://schemas.microsoft.com/office/drawing/2014/chart" uri="{C3380CC4-5D6E-409C-BE32-E72D297353CC}">
              <c16:uniqueId val="{00000000-F56B-41F1-98F0-F642EAFFD335}"/>
            </c:ext>
          </c:extLst>
        </c:ser>
        <c:dLbls>
          <c:showLegendKey val="0"/>
          <c:showVal val="1"/>
          <c:showCatName val="0"/>
          <c:showSerName val="0"/>
          <c:showPercent val="0"/>
          <c:showBubbleSize val="0"/>
        </c:dLbls>
        <c:marker val="1"/>
        <c:smooth val="0"/>
        <c:axId val="91809824"/>
        <c:axId val="91803584"/>
      </c:lineChart>
      <c:catAx>
        <c:axId val="9180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91803584"/>
        <c:crosses val="autoZero"/>
        <c:auto val="1"/>
        <c:lblAlgn val="ctr"/>
        <c:lblOffset val="100"/>
        <c:noMultiLvlLbl val="0"/>
      </c:catAx>
      <c:valAx>
        <c:axId val="91803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9180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Palatino Linotype" panose="02040502050505030304" pitchFamily="18" charset="0"/>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Caporossi</dc:creator>
  <cp:keywords/>
  <dc:description/>
  <cp:lastModifiedBy>Paola Caporossi</cp:lastModifiedBy>
  <cp:revision>2</cp:revision>
  <dcterms:created xsi:type="dcterms:W3CDTF">2022-05-15T12:45:00Z</dcterms:created>
  <dcterms:modified xsi:type="dcterms:W3CDTF">2022-05-15T12:55:00Z</dcterms:modified>
</cp:coreProperties>
</file>