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BE44" w14:textId="371ADE96" w:rsidR="00AB6636" w:rsidRDefault="00AB6636" w:rsidP="001F6034">
      <w:pPr>
        <w:keepNext/>
        <w:spacing w:after="240" w:line="288" w:lineRule="auto"/>
        <w:outlineLvl w:val="0"/>
        <w:rPr>
          <w:rFonts w:ascii="Avenir Next LT Pro" w:eastAsia="MS Gothic" w:hAnsi="Avenir Next LT Pro" w:cs="Times New Roman"/>
          <w:b/>
          <w:i/>
          <w:iCs/>
          <w:smallCaps/>
          <w:color w:val="323E4F" w:themeColor="text2" w:themeShade="BF"/>
          <w:kern w:val="28"/>
          <w:sz w:val="28"/>
          <w:szCs w:val="28"/>
        </w:rPr>
      </w:pPr>
      <w:bookmarkStart w:id="0" w:name="_Toc93168788"/>
      <w:r w:rsidRPr="001F6034">
        <w:rPr>
          <w:rFonts w:ascii="Avenir Next LT Pro" w:eastAsia="MS Gothic" w:hAnsi="Avenir Next LT Pro" w:cs="Times New Roman"/>
          <w:b/>
          <w:i/>
          <w:iCs/>
          <w:smallCaps/>
          <w:color w:val="323E4F" w:themeColor="text2" w:themeShade="BF"/>
          <w:kern w:val="28"/>
          <w:sz w:val="28"/>
          <w:szCs w:val="28"/>
        </w:rPr>
        <w:t xml:space="preserve"> Abstract </w:t>
      </w:r>
    </w:p>
    <w:p w14:paraId="709949BB" w14:textId="77777777" w:rsidR="001F6034" w:rsidRPr="001F6034" w:rsidRDefault="001F6034" w:rsidP="001F6034">
      <w:pPr>
        <w:keepNext/>
        <w:spacing w:after="240" w:line="288" w:lineRule="auto"/>
        <w:outlineLvl w:val="0"/>
        <w:rPr>
          <w:rFonts w:ascii="Avenir Next LT Pro" w:eastAsia="MS Gothic" w:hAnsi="Avenir Next LT Pro" w:cs="Times New Roman"/>
          <w:b/>
          <w:i/>
          <w:iCs/>
          <w:smallCaps/>
          <w:color w:val="323E4F" w:themeColor="text2" w:themeShade="BF"/>
          <w:kern w:val="28"/>
          <w:sz w:val="28"/>
          <w:szCs w:val="28"/>
        </w:rPr>
      </w:pPr>
    </w:p>
    <w:p w14:paraId="720FAD48" w14:textId="2276C5B0" w:rsidR="00AB6636" w:rsidRPr="001F6034" w:rsidRDefault="00AB6636" w:rsidP="00AB6636">
      <w:pPr>
        <w:keepNext/>
        <w:spacing w:after="240" w:line="288" w:lineRule="auto"/>
        <w:jc w:val="both"/>
        <w:outlineLvl w:val="0"/>
        <w:rPr>
          <w:rFonts w:ascii="Avenir Next LT Pro" w:eastAsia="MS Gothic" w:hAnsi="Avenir Next LT Pro" w:cs="Times New Roman"/>
          <w:b/>
          <w:smallCaps/>
          <w:color w:val="256D9D"/>
          <w:kern w:val="28"/>
          <w:sz w:val="24"/>
          <w:szCs w:val="32"/>
        </w:rPr>
      </w:pPr>
      <w:r w:rsidRPr="001F6034">
        <w:rPr>
          <w:rFonts w:ascii="Avenir Next LT Pro" w:eastAsia="MS Gothic" w:hAnsi="Avenir Next LT Pro" w:cs="Times New Roman"/>
          <w:b/>
          <w:smallCaps/>
          <w:color w:val="256D9D"/>
          <w:kern w:val="28"/>
          <w:sz w:val="24"/>
          <w:szCs w:val="32"/>
        </w:rPr>
        <w:t>La misurazione della capacità amministrativa come premessa del suo rafforzamento</w:t>
      </w:r>
      <w:bookmarkEnd w:id="0"/>
    </w:p>
    <w:p w14:paraId="5E779F50" w14:textId="77777777" w:rsidR="00AB6636" w:rsidRPr="001F6034" w:rsidRDefault="00AB6636" w:rsidP="00AB6636">
      <w:pPr>
        <w:spacing w:after="60" w:line="312" w:lineRule="auto"/>
        <w:jc w:val="both"/>
        <w:rPr>
          <w:rFonts w:ascii="Avenir Next LT Pro" w:eastAsia="MS Mincho" w:hAnsi="Avenir Next LT Pro" w:cs="Times New Roman"/>
          <w:i/>
          <w:iCs/>
          <w:sz w:val="23"/>
        </w:rPr>
      </w:pPr>
      <w:r w:rsidRPr="001F6034">
        <w:rPr>
          <w:rFonts w:ascii="Avenir Next LT Pro" w:eastAsia="MS Mincho" w:hAnsi="Avenir Next LT Pro" w:cs="Times New Roman"/>
          <w:sz w:val="23"/>
        </w:rPr>
        <w:t>Sul sito di “Italiae”</w:t>
      </w:r>
      <w:r w:rsidRPr="001F6034">
        <w:rPr>
          <w:rFonts w:ascii="Avenir Next LT Pro" w:eastAsia="MS Mincho" w:hAnsi="Avenir Next LT Pro" w:cs="Times New Roman"/>
          <w:sz w:val="23"/>
          <w:vertAlign w:val="superscript"/>
        </w:rPr>
        <w:footnoteReference w:id="1"/>
      </w:r>
      <w:r w:rsidRPr="001F6034">
        <w:rPr>
          <w:rFonts w:ascii="Avenir Next LT Pro" w:eastAsia="MS Mincho" w:hAnsi="Avenir Next LT Pro" w:cs="Times New Roman"/>
          <w:sz w:val="23"/>
        </w:rPr>
        <w:t xml:space="preserve"> del Dipartimento Affari Regionali e Autonomie locali si legge che tra gli obiettivi del progetto omonimo c’è quello di “</w:t>
      </w:r>
      <w:r w:rsidRPr="001F6034">
        <w:rPr>
          <w:rFonts w:ascii="Avenir Next LT Pro" w:eastAsia="MS Mincho" w:hAnsi="Avenir Next LT Pro" w:cs="Times New Roman"/>
          <w:i/>
          <w:iCs/>
          <w:sz w:val="23"/>
        </w:rPr>
        <w:t>rafforzare la struttura amministrativa e tecnica delle amministrazioni</w:t>
      </w:r>
      <w:r w:rsidRPr="001F6034">
        <w:rPr>
          <w:rFonts w:ascii="Avenir Next LT Pro" w:eastAsia="MS Mincho" w:hAnsi="Avenir Next LT Pro" w:cs="Times New Roman"/>
          <w:sz w:val="23"/>
        </w:rPr>
        <w:t>”, intendendo quelle locali e, in particolare, le Unioni e le Fusioni di Comuni, le Comunità montane. Si legge, inoltre, che la strategia di “Italiae”, prevede tre pilastri, tra cui “</w:t>
      </w:r>
      <w:r w:rsidRPr="001F6034">
        <w:rPr>
          <w:rFonts w:ascii="Avenir Next LT Pro" w:eastAsia="MS Mincho" w:hAnsi="Avenir Next LT Pro" w:cs="Times New Roman"/>
          <w:i/>
          <w:iCs/>
          <w:sz w:val="23"/>
        </w:rPr>
        <w:t>potenziare la capacità di governance degli enti.”</w:t>
      </w:r>
    </w:p>
    <w:p w14:paraId="2E279927" w14:textId="77777777" w:rsidR="00AB6636" w:rsidRPr="001F6034" w:rsidRDefault="00AB6636" w:rsidP="00AB6636">
      <w:pPr>
        <w:spacing w:after="60" w:line="312" w:lineRule="auto"/>
        <w:jc w:val="both"/>
        <w:rPr>
          <w:rFonts w:ascii="Avenir Next LT Pro" w:eastAsia="MS Mincho" w:hAnsi="Avenir Next LT Pro" w:cs="Times New Roman"/>
          <w:sz w:val="23"/>
        </w:rPr>
      </w:pPr>
      <w:r w:rsidRPr="001F6034">
        <w:rPr>
          <w:rFonts w:ascii="Avenir Next LT Pro" w:eastAsia="MS Mincho" w:hAnsi="Avenir Next LT Pro" w:cs="Times New Roman"/>
          <w:sz w:val="23"/>
        </w:rPr>
        <w:t xml:space="preserve">È evidente che per rafforzare la capacità amministrativa di quegli enti, come di tutte le PA, occorre prima conoscere lo stato di salute della loro macchina amministrativa: in altre parole, serve una sorta di radiografia che consenta al decisore pubblico nazionale di disporre del quadro complessivo dei punti di forza e di debolezza di ciascuna Unione, in chiave comparata. </w:t>
      </w:r>
    </w:p>
    <w:p w14:paraId="402B45E2" w14:textId="77777777" w:rsidR="00AB6636" w:rsidRPr="001F6034" w:rsidRDefault="00AB6636" w:rsidP="00AB6636">
      <w:pPr>
        <w:spacing w:after="60" w:line="312" w:lineRule="auto"/>
        <w:jc w:val="both"/>
        <w:rPr>
          <w:rFonts w:ascii="Avenir Next LT Pro" w:eastAsia="MS Mincho" w:hAnsi="Avenir Next LT Pro" w:cs="Times New Roman"/>
          <w:sz w:val="23"/>
        </w:rPr>
      </w:pPr>
      <w:r w:rsidRPr="001F6034">
        <w:rPr>
          <w:rFonts w:ascii="Avenir Next LT Pro" w:eastAsia="MS Mincho" w:hAnsi="Avenir Next LT Pro" w:cs="Times New Roman"/>
          <w:sz w:val="23"/>
        </w:rPr>
        <w:t>Da lì, quel decisore può predisporre un’azione di supporto operativo mirato, e dunque più efficace, al contempo condividendo le buone pratiche rilevate.</w:t>
      </w:r>
    </w:p>
    <w:p w14:paraId="5724CB56" w14:textId="77777777" w:rsidR="00AB6636" w:rsidRPr="001F6034" w:rsidRDefault="00AB6636" w:rsidP="00AB6636">
      <w:pPr>
        <w:spacing w:after="60" w:line="312" w:lineRule="auto"/>
        <w:jc w:val="both"/>
        <w:rPr>
          <w:rFonts w:ascii="Avenir Next LT Pro" w:eastAsia="MS Mincho" w:hAnsi="Avenir Next LT Pro" w:cs="Times New Roman"/>
          <w:sz w:val="23"/>
        </w:rPr>
      </w:pPr>
      <w:r w:rsidRPr="001F6034">
        <w:rPr>
          <w:rFonts w:ascii="Avenir Next LT Pro" w:eastAsia="MS Mincho" w:hAnsi="Avenir Next LT Pro" w:cs="Times New Roman"/>
          <w:sz w:val="23"/>
        </w:rPr>
        <w:t xml:space="preserve">Non solo: quella sorta di radiografia della capacità amministrativa può diventare una bussola orientativa per la costituzione di nuove Unioni o Fusioni. Per i Comuni che decidono di associarsi o fondersi, infatti, l’obiettivo teorico è quello di migliorare le rispettive performance su alcune o su tutte le funzioni fondamentali loro assegnate: per stabilire se l’istituto giuridico dell’Unione o della Fusione portano effettivamente quel miglioramento, è fondamentale, prima della loro costituzione, misurare la governance e la performance di ciascun Comune in procinto di associarsi. </w:t>
      </w:r>
    </w:p>
    <w:p w14:paraId="39999316" w14:textId="77777777" w:rsidR="00AB6636" w:rsidRPr="001F6034" w:rsidRDefault="00AB6636" w:rsidP="00AB6636">
      <w:pPr>
        <w:spacing w:after="60" w:line="312" w:lineRule="auto"/>
        <w:jc w:val="both"/>
        <w:rPr>
          <w:rFonts w:ascii="Avenir Next LT Pro" w:eastAsia="MS Mincho" w:hAnsi="Avenir Next LT Pro" w:cs="Times New Roman"/>
          <w:sz w:val="23"/>
        </w:rPr>
      </w:pPr>
      <w:r w:rsidRPr="001F6034">
        <w:rPr>
          <w:rFonts w:ascii="Avenir Next LT Pro" w:eastAsia="MS Mincho" w:hAnsi="Avenir Next LT Pro" w:cs="Times New Roman"/>
          <w:sz w:val="23"/>
        </w:rPr>
        <w:t xml:space="preserve">Di misurazione della capacità amministrativa scrive spesso anche la Commissione Europea nei suoi documenti: ad esempio, in quello del 2018 dal titolo </w:t>
      </w:r>
      <w:r w:rsidRPr="001F6034">
        <w:rPr>
          <w:rFonts w:ascii="Avenir Next LT Pro" w:eastAsia="MS Mincho" w:hAnsi="Avenir Next LT Pro" w:cs="Times New Roman"/>
          <w:i/>
          <w:iCs/>
          <w:sz w:val="23"/>
        </w:rPr>
        <w:t>“Measuring Public Administration: A Feasibility Study for Better Comparative Indicators in the EU</w:t>
      </w:r>
      <w:r w:rsidRPr="001F6034">
        <w:rPr>
          <w:rFonts w:ascii="Avenir Next LT Pro" w:eastAsia="MS Mincho" w:hAnsi="Avenir Next LT Pro" w:cs="Times New Roman"/>
          <w:sz w:val="23"/>
        </w:rPr>
        <w:t xml:space="preserve">”. In particolare, la misurazione della capacità amministrativa pubblica viene indicata come premessa per il suo rafforzamento, e quest’ultimo, a sua volta, viene indicato come premessa per lo sviluppo economico e sociale di qualunque Paese. </w:t>
      </w:r>
    </w:p>
    <w:p w14:paraId="53AC7B99" w14:textId="77777777" w:rsidR="00AB6636" w:rsidRPr="001F6034" w:rsidRDefault="00AB6636" w:rsidP="00AB6636">
      <w:pPr>
        <w:spacing w:after="60" w:line="312" w:lineRule="auto"/>
        <w:jc w:val="both"/>
        <w:rPr>
          <w:rFonts w:ascii="Avenir Next LT Pro" w:eastAsia="MS Mincho" w:hAnsi="Avenir Next LT Pro" w:cs="Times New Roman"/>
          <w:sz w:val="23"/>
        </w:rPr>
      </w:pPr>
      <w:r w:rsidRPr="001F6034">
        <w:rPr>
          <w:rFonts w:ascii="Avenir Next LT Pro" w:eastAsia="MS Mincho" w:hAnsi="Avenir Next LT Pro" w:cs="Times New Roman"/>
          <w:sz w:val="23"/>
        </w:rPr>
        <w:t>Ma come misurare quella capacità?</w:t>
      </w:r>
    </w:p>
    <w:p w14:paraId="1B0E76CC" w14:textId="77777777" w:rsidR="00AB6636" w:rsidRPr="001F6034" w:rsidRDefault="00AB6636" w:rsidP="00AB6636">
      <w:pPr>
        <w:spacing w:after="60" w:line="312" w:lineRule="auto"/>
        <w:jc w:val="both"/>
        <w:rPr>
          <w:rFonts w:ascii="Avenir Next LT Pro" w:eastAsia="MS Mincho" w:hAnsi="Avenir Next LT Pro" w:cs="Times New Roman"/>
          <w:sz w:val="23"/>
        </w:rPr>
      </w:pPr>
      <w:r w:rsidRPr="001F6034">
        <w:rPr>
          <w:rFonts w:ascii="Avenir Next LT Pro" w:eastAsia="MS Mincho" w:hAnsi="Avenir Next LT Pro" w:cs="Times New Roman"/>
          <w:sz w:val="23"/>
        </w:rPr>
        <w:t>In Italia, una indicazione chiara viene soprattutto da due norme: la legge n.12 del 2012 e il decreto legislativo n.33 del 2013. Grazie ad esse, tutte le Amministrazioni Pubbliche hanno l’obbligo di essere non solo trasparenti, ma di esserlo in modo standardizzato: devono, infatti, pubblicare tutte le stesse informazioni, nello stesso formato</w:t>
      </w:r>
      <w:r w:rsidRPr="001F6034">
        <w:rPr>
          <w:rFonts w:ascii="Avenir Next LT Pro" w:eastAsia="MS Mincho" w:hAnsi="Avenir Next LT Pro" w:cs="Times New Roman"/>
          <w:i/>
          <w:iCs/>
          <w:sz w:val="23"/>
        </w:rPr>
        <w:t>,</w:t>
      </w:r>
      <w:r w:rsidRPr="001F6034">
        <w:rPr>
          <w:rFonts w:ascii="Avenir Next LT Pro" w:eastAsia="MS Mincho" w:hAnsi="Avenir Next LT Pro" w:cs="Times New Roman"/>
          <w:sz w:val="23"/>
        </w:rPr>
        <w:t xml:space="preserve"> con la stessa cadenza temporale </w:t>
      </w:r>
      <w:r w:rsidRPr="001F6034">
        <w:rPr>
          <w:rFonts w:ascii="Avenir Next LT Pro" w:eastAsia="MS Mincho" w:hAnsi="Avenir Next LT Pro" w:cs="Times New Roman"/>
          <w:sz w:val="23"/>
        </w:rPr>
        <w:lastRenderedPageBreak/>
        <w:t>e nella stessa sezione dei rispettivi siti web (cosiddetta sezione Amministrazione Trasparente</w:t>
      </w:r>
      <w:r w:rsidRPr="001F6034">
        <w:rPr>
          <w:rFonts w:ascii="Avenir Next LT Pro" w:eastAsia="MS Mincho" w:hAnsi="Avenir Next LT Pro" w:cs="Times New Roman"/>
          <w:sz w:val="23"/>
          <w:vertAlign w:val="superscript"/>
        </w:rPr>
        <w:footnoteReference w:id="2"/>
      </w:r>
      <w:r w:rsidRPr="001F6034">
        <w:rPr>
          <w:rFonts w:ascii="Avenir Next LT Pro" w:eastAsia="MS Mincho" w:hAnsi="Avenir Next LT Pro" w:cs="Times New Roman"/>
          <w:sz w:val="23"/>
        </w:rPr>
        <w:t xml:space="preserve">). </w:t>
      </w:r>
    </w:p>
    <w:p w14:paraId="14F03E43" w14:textId="77777777" w:rsidR="00AB6636" w:rsidRPr="001F6034" w:rsidRDefault="00AB6636" w:rsidP="00AB6636">
      <w:pPr>
        <w:spacing w:after="60" w:line="312" w:lineRule="auto"/>
        <w:jc w:val="both"/>
        <w:rPr>
          <w:rFonts w:ascii="Avenir Next LT Pro" w:eastAsia="MS Mincho" w:hAnsi="Avenir Next LT Pro" w:cs="Times New Roman"/>
          <w:sz w:val="23"/>
        </w:rPr>
      </w:pPr>
      <w:r w:rsidRPr="001F6034">
        <w:rPr>
          <w:rFonts w:ascii="Avenir Next LT Pro" w:eastAsia="MS Mincho" w:hAnsi="Avenir Next LT Pro" w:cs="Times New Roman"/>
          <w:sz w:val="23"/>
        </w:rPr>
        <w:t>Proprio la standardizzazione della trasparenza operata dal suddetto d.lgs. n.33 rende possibili anche per le Unioni:</w:t>
      </w:r>
    </w:p>
    <w:p w14:paraId="5F91551F" w14:textId="77777777" w:rsidR="00AB6636" w:rsidRPr="001F6034" w:rsidRDefault="00AB6636" w:rsidP="00AB6636">
      <w:pPr>
        <w:spacing w:after="60" w:line="312" w:lineRule="auto"/>
        <w:jc w:val="both"/>
        <w:rPr>
          <w:rFonts w:ascii="Avenir Next LT Pro" w:eastAsia="MS Mincho" w:hAnsi="Avenir Next LT Pro" w:cs="Times New Roman"/>
          <w:sz w:val="23"/>
        </w:rPr>
      </w:pPr>
      <w:r w:rsidRPr="001F6034">
        <w:rPr>
          <w:rFonts w:ascii="Avenir Next LT Pro" w:eastAsia="MS Mincho" w:hAnsi="Avenir Next LT Pro" w:cs="Times New Roman"/>
          <w:sz w:val="23"/>
        </w:rPr>
        <w:t>-la valutazione della capacità amministrativa della singola Unione;</w:t>
      </w:r>
    </w:p>
    <w:p w14:paraId="657B7CB9" w14:textId="77777777" w:rsidR="00AB6636" w:rsidRPr="001F6034" w:rsidRDefault="00AB6636" w:rsidP="00AB6636">
      <w:pPr>
        <w:spacing w:after="60" w:line="312" w:lineRule="auto"/>
        <w:jc w:val="both"/>
        <w:rPr>
          <w:rFonts w:ascii="Avenir Next LT Pro" w:eastAsia="MS Mincho" w:hAnsi="Avenir Next LT Pro" w:cs="Times New Roman"/>
          <w:sz w:val="23"/>
        </w:rPr>
      </w:pPr>
      <w:r w:rsidRPr="001F6034">
        <w:rPr>
          <w:rFonts w:ascii="Avenir Next LT Pro" w:eastAsia="MS Mincho" w:hAnsi="Avenir Next LT Pro" w:cs="Times New Roman"/>
          <w:sz w:val="23"/>
        </w:rPr>
        <w:t>-la comparazione tra Unioni e, da qui, la rilevazione delle buone pratiche da condividere.</w:t>
      </w:r>
    </w:p>
    <w:p w14:paraId="4D6CA5B7" w14:textId="77777777" w:rsidR="00AB6636" w:rsidRPr="001F6034" w:rsidRDefault="00AB6636" w:rsidP="00AB6636">
      <w:pPr>
        <w:spacing w:after="60" w:line="312" w:lineRule="auto"/>
        <w:jc w:val="both"/>
        <w:rPr>
          <w:rFonts w:ascii="Avenir Next LT Pro" w:eastAsia="MS Mincho" w:hAnsi="Avenir Next LT Pro" w:cs="Times New Roman"/>
          <w:sz w:val="23"/>
        </w:rPr>
      </w:pPr>
      <w:r w:rsidRPr="001F6034">
        <w:rPr>
          <w:rFonts w:ascii="Avenir Next LT Pro" w:eastAsia="MS Mincho" w:hAnsi="Avenir Next LT Pro" w:cs="Times New Roman"/>
          <w:sz w:val="23"/>
        </w:rPr>
        <w:t xml:space="preserve">Con le suddette norme, di fatto, il legislatore ha tradotto il concetto generale di trasparenza in quello specifico di </w:t>
      </w:r>
      <w:r w:rsidRPr="001F6034">
        <w:rPr>
          <w:rFonts w:ascii="Avenir Next LT Pro" w:eastAsia="MS Mincho" w:hAnsi="Avenir Next LT Pro" w:cs="Times New Roman"/>
          <w:i/>
          <w:iCs/>
          <w:sz w:val="23"/>
        </w:rPr>
        <w:t>accountability</w:t>
      </w:r>
      <w:r w:rsidRPr="001F6034">
        <w:rPr>
          <w:rFonts w:ascii="Avenir Next LT Pro" w:eastAsia="MS Mincho" w:hAnsi="Avenir Next LT Pro" w:cs="Times New Roman"/>
          <w:sz w:val="23"/>
        </w:rPr>
        <w:t>. La differenza non è terminologica, ma sostanziale: le PA devono essere trasparenti non solo perché è obbligatorio per legge, ma perché chi spende denaro pubblico ha il dovere di rendicontarlo ai cittadini.</w:t>
      </w:r>
    </w:p>
    <w:p w14:paraId="5C1E3585" w14:textId="77777777" w:rsidR="00AB6636" w:rsidRPr="001F6034" w:rsidRDefault="00AB6636" w:rsidP="00AB6636">
      <w:pPr>
        <w:spacing w:after="60" w:line="312" w:lineRule="auto"/>
        <w:jc w:val="both"/>
        <w:rPr>
          <w:rFonts w:ascii="Avenir Next LT Pro" w:eastAsia="MS Mincho" w:hAnsi="Avenir Next LT Pro" w:cs="Times New Roman"/>
          <w:sz w:val="23"/>
        </w:rPr>
      </w:pPr>
      <w:r w:rsidRPr="001F6034">
        <w:rPr>
          <w:rFonts w:ascii="Avenir Next LT Pro" w:eastAsia="MS Mincho" w:hAnsi="Avenir Next LT Pro" w:cs="Times New Roman"/>
          <w:sz w:val="23"/>
        </w:rPr>
        <w:t>Del resto, l’</w:t>
      </w:r>
      <w:r w:rsidRPr="001F6034">
        <w:rPr>
          <w:rFonts w:ascii="Avenir Next LT Pro" w:eastAsia="MS Mincho" w:hAnsi="Avenir Next LT Pro" w:cs="Times New Roman"/>
          <w:i/>
          <w:iCs/>
          <w:sz w:val="23"/>
        </w:rPr>
        <w:t>accountability</w:t>
      </w:r>
      <w:r w:rsidRPr="001F6034">
        <w:rPr>
          <w:rFonts w:ascii="Avenir Next LT Pro" w:eastAsia="MS Mincho" w:hAnsi="Avenir Next LT Pro" w:cs="Times New Roman"/>
          <w:sz w:val="23"/>
        </w:rPr>
        <w:t xml:space="preserve"> non è solo un dovere istituzionale, ma anche una opportunità per le Unioni: innanzitutto, per farsi conoscere di più dall’opinione pubblica e, in secondo luogo, per guadagnare reputazione presso le rispettive comunità.</w:t>
      </w:r>
    </w:p>
    <w:p w14:paraId="29F5671F" w14:textId="77777777" w:rsidR="001F6034" w:rsidRDefault="001F6034" w:rsidP="00050FCB">
      <w:pPr>
        <w:keepNext/>
        <w:spacing w:after="240" w:line="288" w:lineRule="auto"/>
        <w:ind w:left="1080" w:hanging="360"/>
        <w:jc w:val="both"/>
        <w:outlineLvl w:val="0"/>
        <w:rPr>
          <w:rFonts w:ascii="Avenir Next LT Pro" w:eastAsia="Calibri" w:hAnsi="Avenir Next LT Pro" w:cs="Times New Roman"/>
          <w:sz w:val="23"/>
        </w:rPr>
      </w:pPr>
      <w:bookmarkStart w:id="1" w:name="_Toc93168790"/>
      <w:bookmarkStart w:id="2" w:name="_Toc93168789"/>
    </w:p>
    <w:p w14:paraId="36FEC190" w14:textId="788BE5A2" w:rsidR="00050FCB" w:rsidRPr="00050FCB" w:rsidRDefault="00050FCB" w:rsidP="00050FCB">
      <w:pPr>
        <w:keepNext/>
        <w:spacing w:after="240" w:line="288" w:lineRule="auto"/>
        <w:ind w:left="1080" w:hanging="360"/>
        <w:jc w:val="both"/>
        <w:outlineLvl w:val="0"/>
        <w:rPr>
          <w:rFonts w:ascii="Avenir Next LT Pro" w:eastAsia="MS Gothic" w:hAnsi="Avenir Next LT Pro" w:cs="Times New Roman"/>
          <w:b/>
          <w:smallCaps/>
          <w:color w:val="256D9D"/>
          <w:kern w:val="28"/>
          <w:sz w:val="24"/>
          <w:szCs w:val="32"/>
        </w:rPr>
      </w:pPr>
      <w:r w:rsidRPr="00050FCB">
        <w:rPr>
          <w:rFonts w:ascii="Avenir Next LT Pro" w:eastAsia="MS Gothic" w:hAnsi="Avenir Next LT Pro" w:cs="Times New Roman"/>
          <w:b/>
          <w:smallCaps/>
          <w:color w:val="256D9D"/>
          <w:kern w:val="28"/>
          <w:sz w:val="24"/>
          <w:szCs w:val="32"/>
        </w:rPr>
        <w:t>Come misurare la capacità di amministrare</w:t>
      </w:r>
      <w:bookmarkEnd w:id="2"/>
    </w:p>
    <w:p w14:paraId="66547DBD" w14:textId="77777777" w:rsidR="00050FCB" w:rsidRPr="00050FCB" w:rsidRDefault="00050FCB" w:rsidP="00050FCB">
      <w:pPr>
        <w:spacing w:after="60" w:line="312" w:lineRule="auto"/>
        <w:jc w:val="both"/>
        <w:rPr>
          <w:rFonts w:ascii="Avenir Next LT Pro" w:eastAsia="MS Mincho" w:hAnsi="Avenir Next LT Pro" w:cs="Times New Roman"/>
          <w:sz w:val="23"/>
        </w:rPr>
      </w:pPr>
      <w:r w:rsidRPr="00050FCB">
        <w:rPr>
          <w:rFonts w:ascii="Avenir Next LT Pro" w:eastAsia="MS Mincho" w:hAnsi="Avenir Next LT Pro" w:cs="Times New Roman"/>
          <w:sz w:val="23"/>
        </w:rPr>
        <w:t>In Italia, oggi, il vero problema non è la trasparenza delle Pubbliche Amministrazioni, ma la sua fruibilità. I dati e le informazioni contenute nella sezione Amministrazione Trasparente sui siti web delle PA sono molto numerosi, talora complessi, in buona parte a carattere tecnico, e pertanto spesso non comprensibili e utilizzabili dal cittadino.</w:t>
      </w:r>
    </w:p>
    <w:p w14:paraId="52689FFD" w14:textId="77777777" w:rsidR="00050FCB" w:rsidRPr="00050FCB" w:rsidRDefault="00050FCB" w:rsidP="00050FCB">
      <w:pPr>
        <w:spacing w:after="60" w:line="312" w:lineRule="auto"/>
        <w:jc w:val="both"/>
        <w:rPr>
          <w:rFonts w:ascii="Avenir Next LT Pro" w:eastAsia="MS Mincho" w:hAnsi="Avenir Next LT Pro" w:cs="Times New Roman"/>
          <w:sz w:val="23"/>
        </w:rPr>
      </w:pPr>
      <w:r w:rsidRPr="00050FCB">
        <w:rPr>
          <w:rFonts w:ascii="Avenir Next LT Pro" w:eastAsia="MS Mincho" w:hAnsi="Avenir Next LT Pro" w:cs="Times New Roman"/>
          <w:sz w:val="23"/>
        </w:rPr>
        <w:t>Per fruire pienamente di quel patrimonio informativo - e potenzialmente diagnostico – è stata qui utilizzata la metodologia dell’Indice di Capacità Amministrativa</w:t>
      </w:r>
      <w:r w:rsidRPr="00050FCB">
        <w:rPr>
          <w:rFonts w:ascii="Avenir Next LT Pro" w:eastAsia="MS Mincho" w:hAnsi="Avenir Next LT Pro" w:cs="Times New Roman"/>
          <w:sz w:val="23"/>
          <w:vertAlign w:val="superscript"/>
        </w:rPr>
        <w:footnoteReference w:id="3"/>
      </w:r>
      <w:r w:rsidRPr="00050FCB">
        <w:rPr>
          <w:rFonts w:ascii="Avenir Next LT Pro" w:eastAsia="MS Mincho" w:hAnsi="Avenir Next LT Pro" w:cs="Times New Roman"/>
          <w:sz w:val="23"/>
        </w:rPr>
        <w:t xml:space="preserve">, un indice sintetico comparato che consente di raccogliere, ordinare e valutare le informazioni e i dati che le stesse PA – e dunque anche le Unioni - pubblicano sui rispettivi siti web. </w:t>
      </w:r>
    </w:p>
    <w:p w14:paraId="12CE8F12" w14:textId="77777777" w:rsidR="00050FCB" w:rsidRPr="00050FCB" w:rsidRDefault="00050FCB" w:rsidP="00050FCB">
      <w:pPr>
        <w:spacing w:after="60" w:line="312" w:lineRule="auto"/>
        <w:jc w:val="both"/>
        <w:rPr>
          <w:rFonts w:ascii="Avenir Next LT Pro" w:eastAsia="MS Mincho" w:hAnsi="Avenir Next LT Pro" w:cs="Times New Roman"/>
          <w:sz w:val="23"/>
        </w:rPr>
      </w:pPr>
      <w:r w:rsidRPr="00050FCB">
        <w:rPr>
          <w:rFonts w:ascii="Avenir Next LT Pro" w:eastAsia="MS Mincho" w:hAnsi="Avenir Next LT Pro" w:cs="Times New Roman"/>
          <w:sz w:val="23"/>
        </w:rPr>
        <w:t xml:space="preserve">Le aree di analisi sono state circoscritte a cinque: </w:t>
      </w:r>
    </w:p>
    <w:p w14:paraId="19535712" w14:textId="77777777" w:rsidR="00050FCB" w:rsidRPr="00050FCB" w:rsidRDefault="00050FCB" w:rsidP="00050FCB">
      <w:pPr>
        <w:numPr>
          <w:ilvl w:val="0"/>
          <w:numId w:val="3"/>
        </w:numPr>
        <w:spacing w:after="60" w:line="288" w:lineRule="auto"/>
        <w:ind w:left="499" w:hanging="357"/>
        <w:contextualSpacing/>
        <w:jc w:val="both"/>
        <w:rPr>
          <w:rFonts w:ascii="Avenir Next LT Pro" w:eastAsia="Calibri" w:hAnsi="Avenir Next LT Pro" w:cs="Times New Roman"/>
          <w:sz w:val="23"/>
        </w:rPr>
      </w:pPr>
      <w:r w:rsidRPr="00050FCB">
        <w:rPr>
          <w:rFonts w:ascii="Avenir Next LT Pro" w:eastAsia="Calibri" w:hAnsi="Avenir Next LT Pro" w:cs="Times New Roman"/>
          <w:sz w:val="23"/>
        </w:rPr>
        <w:t>Bilancio</w:t>
      </w:r>
    </w:p>
    <w:p w14:paraId="2D40037D" w14:textId="77777777" w:rsidR="00050FCB" w:rsidRPr="00050FCB" w:rsidRDefault="00050FCB" w:rsidP="00050FCB">
      <w:pPr>
        <w:numPr>
          <w:ilvl w:val="0"/>
          <w:numId w:val="3"/>
        </w:numPr>
        <w:spacing w:after="60" w:line="288" w:lineRule="auto"/>
        <w:ind w:left="499" w:hanging="357"/>
        <w:contextualSpacing/>
        <w:jc w:val="both"/>
        <w:rPr>
          <w:rFonts w:ascii="Avenir Next LT Pro" w:eastAsia="Calibri" w:hAnsi="Avenir Next LT Pro" w:cs="Times New Roman"/>
          <w:sz w:val="23"/>
        </w:rPr>
      </w:pPr>
      <w:r w:rsidRPr="00050FCB">
        <w:rPr>
          <w:rFonts w:ascii="Avenir Next LT Pro" w:eastAsia="Calibri" w:hAnsi="Avenir Next LT Pro" w:cs="Times New Roman"/>
          <w:sz w:val="23"/>
        </w:rPr>
        <w:t>Capacità di Governance</w:t>
      </w:r>
    </w:p>
    <w:p w14:paraId="0BD2A3DC" w14:textId="77777777" w:rsidR="00050FCB" w:rsidRPr="00050FCB" w:rsidRDefault="00050FCB" w:rsidP="00050FCB">
      <w:pPr>
        <w:numPr>
          <w:ilvl w:val="0"/>
          <w:numId w:val="3"/>
        </w:numPr>
        <w:spacing w:after="60" w:line="288" w:lineRule="auto"/>
        <w:ind w:left="499" w:hanging="357"/>
        <w:contextualSpacing/>
        <w:jc w:val="both"/>
        <w:rPr>
          <w:rFonts w:ascii="Avenir Next LT Pro" w:eastAsia="Calibri" w:hAnsi="Avenir Next LT Pro" w:cs="Times New Roman"/>
          <w:sz w:val="23"/>
        </w:rPr>
      </w:pPr>
      <w:r w:rsidRPr="00050FCB">
        <w:rPr>
          <w:rFonts w:ascii="Avenir Next LT Pro" w:eastAsia="Calibri" w:hAnsi="Avenir Next LT Pro" w:cs="Times New Roman"/>
          <w:sz w:val="23"/>
        </w:rPr>
        <w:t>Capacità di gestire il Personale</w:t>
      </w:r>
    </w:p>
    <w:p w14:paraId="2AE4F368" w14:textId="77777777" w:rsidR="00050FCB" w:rsidRPr="00050FCB" w:rsidRDefault="00050FCB" w:rsidP="00050FCB">
      <w:pPr>
        <w:numPr>
          <w:ilvl w:val="0"/>
          <w:numId w:val="3"/>
        </w:numPr>
        <w:spacing w:after="60" w:line="288" w:lineRule="auto"/>
        <w:ind w:left="499" w:hanging="357"/>
        <w:contextualSpacing/>
        <w:jc w:val="both"/>
        <w:rPr>
          <w:rFonts w:ascii="Avenir Next LT Pro" w:eastAsia="Calibri" w:hAnsi="Avenir Next LT Pro" w:cs="Times New Roman"/>
          <w:sz w:val="23"/>
        </w:rPr>
      </w:pPr>
      <w:r w:rsidRPr="00050FCB">
        <w:rPr>
          <w:rFonts w:ascii="Avenir Next LT Pro" w:eastAsia="Calibri" w:hAnsi="Avenir Next LT Pro" w:cs="Times New Roman"/>
          <w:sz w:val="23"/>
        </w:rPr>
        <w:t>Servizi e rapporto con i cittadini</w:t>
      </w:r>
    </w:p>
    <w:p w14:paraId="2C5AB75F" w14:textId="77777777" w:rsidR="00050FCB" w:rsidRPr="00050FCB" w:rsidRDefault="00050FCB" w:rsidP="00050FCB">
      <w:pPr>
        <w:numPr>
          <w:ilvl w:val="0"/>
          <w:numId w:val="3"/>
        </w:numPr>
        <w:spacing w:after="60" w:line="288" w:lineRule="auto"/>
        <w:ind w:left="499" w:hanging="357"/>
        <w:contextualSpacing/>
        <w:jc w:val="both"/>
        <w:rPr>
          <w:rFonts w:ascii="Avenir Next LT Pro" w:eastAsia="Calibri" w:hAnsi="Avenir Next LT Pro" w:cs="Times New Roman"/>
          <w:sz w:val="23"/>
        </w:rPr>
      </w:pPr>
      <w:r w:rsidRPr="00050FCB">
        <w:rPr>
          <w:rFonts w:ascii="Avenir Next LT Pro" w:eastAsia="Calibri" w:hAnsi="Avenir Next LT Pro" w:cs="Times New Roman"/>
          <w:sz w:val="23"/>
        </w:rPr>
        <w:t xml:space="preserve">Appalti e rapporto con i fornitori. </w:t>
      </w:r>
    </w:p>
    <w:p w14:paraId="2F398224" w14:textId="77777777" w:rsidR="00050FCB" w:rsidRPr="00050FCB" w:rsidRDefault="00050FCB" w:rsidP="00050FCB">
      <w:pPr>
        <w:spacing w:after="60" w:line="312" w:lineRule="auto"/>
        <w:jc w:val="both"/>
        <w:rPr>
          <w:rFonts w:ascii="Avenir Next LT Pro" w:eastAsia="MS Mincho" w:hAnsi="Avenir Next LT Pro" w:cs="Times New Roman"/>
          <w:sz w:val="23"/>
        </w:rPr>
      </w:pPr>
      <w:r w:rsidRPr="00050FCB">
        <w:rPr>
          <w:rFonts w:ascii="Avenir Next LT Pro" w:eastAsia="MS Mincho" w:hAnsi="Avenir Next LT Pro" w:cs="Times New Roman"/>
          <w:sz w:val="23"/>
        </w:rPr>
        <w:t>Per l’Ambiente</w:t>
      </w:r>
      <w:r w:rsidRPr="00050FCB">
        <w:rPr>
          <w:rFonts w:ascii="Avenir Next LT Pro" w:eastAsia="MS Mincho" w:hAnsi="Avenir Next LT Pro" w:cs="Times New Roman"/>
          <w:sz w:val="23"/>
          <w:vertAlign w:val="superscript"/>
        </w:rPr>
        <w:footnoteReference w:id="4"/>
      </w:r>
      <w:r w:rsidRPr="00050FCB">
        <w:rPr>
          <w:rFonts w:ascii="Avenir Next LT Pro" w:eastAsia="MS Mincho" w:hAnsi="Avenir Next LT Pro" w:cs="Times New Roman"/>
          <w:sz w:val="23"/>
        </w:rPr>
        <w:t xml:space="preserve"> non è stato possibile rilevare dati attendibili.</w:t>
      </w:r>
    </w:p>
    <w:p w14:paraId="4C42759F" w14:textId="77777777" w:rsidR="00050FCB" w:rsidRPr="00050FCB" w:rsidRDefault="00050FCB" w:rsidP="00050FCB">
      <w:pPr>
        <w:spacing w:after="60" w:line="312" w:lineRule="auto"/>
        <w:jc w:val="both"/>
        <w:rPr>
          <w:rFonts w:ascii="Avenir Next LT Pro" w:eastAsia="MS Mincho" w:hAnsi="Avenir Next LT Pro" w:cs="Times New Roman"/>
          <w:sz w:val="23"/>
        </w:rPr>
      </w:pPr>
      <w:r w:rsidRPr="00050FCB">
        <w:rPr>
          <w:rFonts w:ascii="Avenir Next LT Pro" w:eastAsia="MS Mincho" w:hAnsi="Avenir Next LT Pro" w:cs="Times New Roman"/>
          <w:sz w:val="23"/>
        </w:rPr>
        <w:t>A ogni area è assegnato uno score massimo ponderato su base 100.</w:t>
      </w:r>
    </w:p>
    <w:p w14:paraId="2CA726BC" w14:textId="77777777" w:rsidR="00050FCB" w:rsidRPr="00050FCB" w:rsidRDefault="00050FCB" w:rsidP="00050FCB">
      <w:pPr>
        <w:spacing w:after="60" w:line="312" w:lineRule="auto"/>
        <w:jc w:val="both"/>
        <w:rPr>
          <w:rFonts w:ascii="Avenir Next LT Pro" w:eastAsia="MS Mincho" w:hAnsi="Avenir Next LT Pro" w:cs="Times New Roman"/>
          <w:sz w:val="23"/>
        </w:rPr>
      </w:pPr>
      <w:r w:rsidRPr="00050FCB">
        <w:rPr>
          <w:rFonts w:ascii="Avenir Next LT Pro" w:eastAsia="MS Mincho" w:hAnsi="Avenir Next LT Pro" w:cs="Times New Roman"/>
          <w:sz w:val="23"/>
        </w:rPr>
        <w:lastRenderedPageBreak/>
        <w:t xml:space="preserve">Ciascuna area è declinata in indicatori, ai quali è attribuito uno score massimo anch’esso ponderato su base 100. </w:t>
      </w:r>
    </w:p>
    <w:p w14:paraId="2385C933" w14:textId="77777777" w:rsidR="00050FCB" w:rsidRPr="00050FCB" w:rsidRDefault="00050FCB" w:rsidP="00050FCB">
      <w:pPr>
        <w:spacing w:after="60" w:line="312" w:lineRule="auto"/>
        <w:jc w:val="both"/>
        <w:rPr>
          <w:rFonts w:ascii="Avenir Next LT Pro" w:eastAsia="MS Mincho" w:hAnsi="Avenir Next LT Pro" w:cs="Times New Roman"/>
          <w:sz w:val="23"/>
        </w:rPr>
      </w:pPr>
      <w:r w:rsidRPr="00050FCB">
        <w:rPr>
          <w:rFonts w:ascii="Avenir Next LT Pro" w:eastAsia="MS Mincho" w:hAnsi="Avenir Next LT Pro" w:cs="Times New Roman"/>
          <w:sz w:val="23"/>
        </w:rPr>
        <w:t>Qualora l’Unione non pubblichi un dato, la valutazione assegnata è “n.d.”, con score pari a zero: questo perché l’obbligo normativo di pubblicazione non può essere disatteso, tanto meno da una PA, che spende denaro pubblico. In altre parole, il non-dato viene valutato come un dato.</w:t>
      </w:r>
    </w:p>
    <w:p w14:paraId="5E846744" w14:textId="77777777" w:rsidR="00050FCB" w:rsidRPr="00050FCB" w:rsidRDefault="00050FCB" w:rsidP="00050FCB">
      <w:pPr>
        <w:spacing w:after="60" w:line="312" w:lineRule="auto"/>
        <w:jc w:val="both"/>
        <w:rPr>
          <w:rFonts w:ascii="Avenir Next LT Pro" w:eastAsia="MS Mincho" w:hAnsi="Avenir Next LT Pro" w:cs="Times New Roman"/>
          <w:sz w:val="23"/>
        </w:rPr>
      </w:pPr>
      <w:r w:rsidRPr="00050FCB">
        <w:rPr>
          <w:rFonts w:ascii="Avenir Next LT Pro" w:eastAsia="MS Mincho" w:hAnsi="Avenir Next LT Pro" w:cs="Times New Roman"/>
          <w:sz w:val="23"/>
        </w:rPr>
        <w:t>Al termine dell’analisi e dell’attribuzione degli score, un algoritmo matematico consente di elaborare una valutazione complessiva della singola Unione, disaggregabile in ciascuna delle suddette cinque aree.</w:t>
      </w:r>
    </w:p>
    <w:p w14:paraId="187A8F52" w14:textId="77777777" w:rsidR="00050FCB" w:rsidRPr="00050FCB" w:rsidRDefault="00050FCB" w:rsidP="00050FCB">
      <w:pPr>
        <w:spacing w:after="60" w:line="312" w:lineRule="auto"/>
        <w:jc w:val="both"/>
        <w:rPr>
          <w:rFonts w:ascii="Avenir Next LT Pro" w:eastAsia="MS Mincho" w:hAnsi="Avenir Next LT Pro" w:cs="Times New Roman"/>
          <w:sz w:val="23"/>
        </w:rPr>
      </w:pPr>
      <w:r w:rsidRPr="00050FCB">
        <w:rPr>
          <w:rFonts w:ascii="Avenir Next LT Pro" w:eastAsia="MS Mincho" w:hAnsi="Avenir Next LT Pro" w:cs="Times New Roman"/>
          <w:sz w:val="23"/>
        </w:rPr>
        <w:t>La comparazione tra le Unioni produce una classifica (</w:t>
      </w:r>
      <w:r w:rsidRPr="00050FCB">
        <w:rPr>
          <w:rFonts w:ascii="Avenir Next LT Pro" w:eastAsia="MS Mincho" w:hAnsi="Avenir Next LT Pro" w:cs="Times New Roman"/>
          <w:i/>
          <w:sz w:val="23"/>
        </w:rPr>
        <w:t>ranking</w:t>
      </w:r>
      <w:r w:rsidRPr="00050FCB">
        <w:rPr>
          <w:rFonts w:ascii="Avenir Next LT Pro" w:eastAsia="MS Mincho" w:hAnsi="Avenir Next LT Pro" w:cs="Times New Roman"/>
          <w:sz w:val="23"/>
        </w:rPr>
        <w:t xml:space="preserve">), che consente di misurare la loro distanza dal </w:t>
      </w:r>
      <w:r w:rsidRPr="00050FCB">
        <w:rPr>
          <w:rFonts w:ascii="Avenir Next LT Pro" w:eastAsia="MS Mincho" w:hAnsi="Avenir Next LT Pro" w:cs="Times New Roman"/>
          <w:i/>
          <w:sz w:val="23"/>
        </w:rPr>
        <w:t>benchmark</w:t>
      </w:r>
      <w:r w:rsidRPr="00050FCB">
        <w:rPr>
          <w:rFonts w:ascii="Avenir Next LT Pro" w:eastAsia="MS Mincho" w:hAnsi="Avenir Next LT Pro" w:cs="Times New Roman"/>
          <w:sz w:val="23"/>
        </w:rPr>
        <w:t xml:space="preserve"> di riferimento (l’Unione complessivamente più performante ad una certa data).</w:t>
      </w:r>
    </w:p>
    <w:p w14:paraId="30D8FAAE" w14:textId="77777777" w:rsidR="00050FCB" w:rsidRPr="00050FCB" w:rsidRDefault="00050FCB" w:rsidP="00050FCB">
      <w:pPr>
        <w:spacing w:after="60" w:line="312" w:lineRule="auto"/>
        <w:jc w:val="both"/>
        <w:rPr>
          <w:rFonts w:ascii="Avenir Next LT Pro" w:eastAsia="MS Mincho" w:hAnsi="Avenir Next LT Pro" w:cs="Times New Roman"/>
          <w:sz w:val="23"/>
        </w:rPr>
      </w:pPr>
      <w:r w:rsidRPr="00050FCB">
        <w:rPr>
          <w:rFonts w:ascii="Avenir Next LT Pro" w:eastAsia="MS Mincho" w:hAnsi="Avenir Next LT Pro" w:cs="Times New Roman"/>
          <w:sz w:val="23"/>
        </w:rPr>
        <w:t>In appendice si riporta il set di indicatori specificamente selezionati per le Unioni e poi rielaborati con la metodologia del citato Indice di Capacità Amministrativa.</w:t>
      </w:r>
    </w:p>
    <w:p w14:paraId="0F15C067" w14:textId="77777777" w:rsidR="00050FCB" w:rsidRPr="00050FCB" w:rsidRDefault="00050FCB" w:rsidP="00050FCB">
      <w:pPr>
        <w:spacing w:after="60" w:line="312" w:lineRule="auto"/>
        <w:jc w:val="both"/>
        <w:rPr>
          <w:rFonts w:ascii="Avenir Next LT Pro" w:eastAsia="MS Mincho" w:hAnsi="Avenir Next LT Pro" w:cs="Times New Roman"/>
          <w:sz w:val="23"/>
        </w:rPr>
      </w:pPr>
      <w:r w:rsidRPr="00050FCB">
        <w:rPr>
          <w:rFonts w:ascii="Avenir Next LT Pro" w:eastAsia="MS Mincho" w:hAnsi="Avenir Next LT Pro" w:cs="Times New Roman"/>
          <w:sz w:val="23"/>
        </w:rPr>
        <w:t>La principale fonte dei dati raccolti è la sezione Amministrazione Trasparente sui siti web delle singole Unioni, oltre che le banche dati di ISTAT, MEF, ANAC.</w:t>
      </w:r>
    </w:p>
    <w:p w14:paraId="5082E511" w14:textId="77777777" w:rsidR="00050FCB" w:rsidRPr="00050FCB" w:rsidRDefault="00050FCB" w:rsidP="00050FCB">
      <w:pPr>
        <w:spacing w:after="60" w:line="312" w:lineRule="auto"/>
        <w:jc w:val="both"/>
        <w:rPr>
          <w:rFonts w:ascii="Avenir Next LT Pro" w:eastAsia="MS Mincho" w:hAnsi="Avenir Next LT Pro" w:cs="Times New Roman"/>
          <w:sz w:val="23"/>
        </w:rPr>
      </w:pPr>
    </w:p>
    <w:p w14:paraId="2E6D78B3" w14:textId="77777777" w:rsidR="00AB6636" w:rsidRPr="001F6034" w:rsidRDefault="00AB6636" w:rsidP="00AB6636">
      <w:pPr>
        <w:spacing w:after="60" w:line="312" w:lineRule="auto"/>
        <w:jc w:val="both"/>
        <w:rPr>
          <w:rFonts w:ascii="Avenir Next LT Pro" w:eastAsia="Calibri" w:hAnsi="Avenir Next LT Pro" w:cs="Times New Roman"/>
          <w:sz w:val="23"/>
        </w:rPr>
      </w:pPr>
    </w:p>
    <w:p w14:paraId="4E4BA2B8" w14:textId="77777777" w:rsidR="001F6034" w:rsidRPr="001F6034" w:rsidRDefault="001F6034" w:rsidP="001F6034">
      <w:pPr>
        <w:keepNext/>
        <w:spacing w:after="240" w:line="288" w:lineRule="auto"/>
        <w:ind w:left="1080" w:hanging="360"/>
        <w:jc w:val="both"/>
        <w:outlineLvl w:val="0"/>
        <w:rPr>
          <w:rFonts w:ascii="Avenir Next LT Pro" w:eastAsia="MS Gothic" w:hAnsi="Avenir Next LT Pro" w:cs="Times New Roman"/>
          <w:b/>
          <w:smallCaps/>
          <w:color w:val="256D9D"/>
          <w:kern w:val="28"/>
          <w:sz w:val="24"/>
          <w:szCs w:val="32"/>
        </w:rPr>
      </w:pPr>
      <w:bookmarkStart w:id="3" w:name="_Toc93168840"/>
      <w:r w:rsidRPr="001F6034">
        <w:rPr>
          <w:rFonts w:ascii="Avenir Next LT Pro" w:eastAsia="MS Gothic" w:hAnsi="Avenir Next LT Pro" w:cs="Times New Roman"/>
          <w:b/>
          <w:smallCaps/>
          <w:color w:val="256D9D"/>
          <w:kern w:val="28"/>
          <w:sz w:val="24"/>
          <w:szCs w:val="32"/>
        </w:rPr>
        <w:t>Conoscere per migliorare: l’importanza dei dati</w:t>
      </w:r>
      <w:bookmarkEnd w:id="3"/>
    </w:p>
    <w:p w14:paraId="46AE554B" w14:textId="77777777" w:rsidR="001F6034" w:rsidRPr="001F6034" w:rsidRDefault="001F6034" w:rsidP="001F6034">
      <w:pPr>
        <w:spacing w:after="60" w:line="312" w:lineRule="auto"/>
        <w:jc w:val="both"/>
        <w:rPr>
          <w:rFonts w:ascii="Avenir Next LT Pro" w:eastAsia="MS Mincho" w:hAnsi="Avenir Next LT Pro" w:cs="Times New Roman"/>
          <w:sz w:val="23"/>
        </w:rPr>
      </w:pPr>
      <w:r w:rsidRPr="001F6034">
        <w:rPr>
          <w:rFonts w:ascii="Avenir Next LT Pro" w:eastAsia="MS Mincho" w:hAnsi="Avenir Next LT Pro" w:cs="Times New Roman"/>
          <w:sz w:val="23"/>
        </w:rPr>
        <w:t>La valutazione della capacità amministrativa delle Unioni, esemplificata nelle pagine precedenti, non rappresenta un esercizio teorico: al contrario, costituisce la premessa, per le Unioni stesse, di un supporto operativo concreto, che consenta loro di migliorare il proprio rendimento generale e, in particolare, l’erogazione dei servizi ai cittadini.</w:t>
      </w:r>
    </w:p>
    <w:p w14:paraId="290B0B7E" w14:textId="77777777" w:rsidR="001F6034" w:rsidRPr="001F6034" w:rsidRDefault="001F6034" w:rsidP="001F6034">
      <w:pPr>
        <w:spacing w:after="60" w:line="312" w:lineRule="auto"/>
        <w:jc w:val="both"/>
        <w:rPr>
          <w:rFonts w:ascii="Avenir Next LT Pro" w:eastAsia="MS Mincho" w:hAnsi="Avenir Next LT Pro" w:cs="Times New Roman"/>
          <w:sz w:val="23"/>
        </w:rPr>
      </w:pPr>
      <w:r w:rsidRPr="001F6034">
        <w:rPr>
          <w:rFonts w:ascii="Avenir Next LT Pro" w:eastAsia="MS Mincho" w:hAnsi="Avenir Next LT Pro" w:cs="Times New Roman"/>
          <w:sz w:val="23"/>
        </w:rPr>
        <w:t xml:space="preserve">L’obiettivo di quel tipo di valutazione, dunque, non è fare classifiche e assegnare voti alle Unioni e ai Comuni che le compongono. A questi ultimi, al contrario, va riconosciuto il merito di aver intrapreso la coraggiosa strada del condividere una o più funzioni con il fine di riuscire a svolgerle meglio, nell’interesse generale dei propri territori. </w:t>
      </w:r>
    </w:p>
    <w:p w14:paraId="27C4B42C" w14:textId="77777777" w:rsidR="001F6034" w:rsidRPr="001F6034" w:rsidRDefault="001F6034" w:rsidP="001F6034">
      <w:pPr>
        <w:spacing w:after="60" w:line="312" w:lineRule="auto"/>
        <w:jc w:val="both"/>
        <w:rPr>
          <w:rFonts w:ascii="Avenir Next LT Pro" w:eastAsia="MS Mincho" w:hAnsi="Avenir Next LT Pro" w:cs="Times New Roman"/>
          <w:sz w:val="23"/>
        </w:rPr>
      </w:pPr>
      <w:r w:rsidRPr="001F6034">
        <w:rPr>
          <w:rFonts w:ascii="Avenir Next LT Pro" w:eastAsia="MS Mincho" w:hAnsi="Avenir Next LT Pro" w:cs="Times New Roman"/>
          <w:sz w:val="23"/>
        </w:rPr>
        <w:t xml:space="preserve">Proprio per rendere quel merito più fruttuoso, l’analisi dei dati consente di costruire un’azione di sostegno mirato al rafforzamento della capacità di amministrare e, quindi, di spendere bene il denaro pubblico. Un sostegno che non vuole calare dall’alto, bensì scaturire dalla condivisione delle buone pratiche rilevate durante l’analisi. </w:t>
      </w:r>
    </w:p>
    <w:p w14:paraId="4040B5D4" w14:textId="77777777" w:rsidR="001F6034" w:rsidRPr="001F6034" w:rsidRDefault="001F6034" w:rsidP="001F6034">
      <w:pPr>
        <w:spacing w:after="60" w:line="312" w:lineRule="auto"/>
        <w:jc w:val="both"/>
        <w:rPr>
          <w:rFonts w:ascii="Avenir Next LT Pro" w:eastAsia="MS Mincho" w:hAnsi="Avenir Next LT Pro" w:cs="Times New Roman"/>
          <w:sz w:val="23"/>
        </w:rPr>
      </w:pPr>
      <w:r w:rsidRPr="001F6034">
        <w:rPr>
          <w:rFonts w:ascii="Avenir Next LT Pro" w:eastAsia="MS Mincho" w:hAnsi="Avenir Next LT Pro" w:cs="Times New Roman"/>
          <w:sz w:val="23"/>
        </w:rPr>
        <w:t>È comprensibile che i piccoli Comuni associati in Unioni, già affaticati dalle complessità delle attività ordinarie e dalla carenza di personale, trovino particolarmente onerosi gli obblighi di pubblicazione nella sezione Amministrazione Trasparente. Tuttavia, la digitalizzazione annunciata con il Piano Nazionale di Ripresa e Resilienza può costituire un valido aiuto per agevolare quella pubblicazione e renderla, in prospettiva, automatica.</w:t>
      </w:r>
    </w:p>
    <w:p w14:paraId="0D8C688D" w14:textId="77777777" w:rsidR="001F6034" w:rsidRPr="001F6034" w:rsidRDefault="001F6034" w:rsidP="001F6034">
      <w:pPr>
        <w:spacing w:after="60" w:line="312" w:lineRule="auto"/>
        <w:jc w:val="both"/>
        <w:rPr>
          <w:rFonts w:ascii="Avenir Next LT Pro" w:eastAsia="MS Mincho" w:hAnsi="Avenir Next LT Pro" w:cs="Times New Roman"/>
          <w:sz w:val="23"/>
        </w:rPr>
      </w:pPr>
      <w:r w:rsidRPr="001F6034">
        <w:rPr>
          <w:rFonts w:ascii="Avenir Next LT Pro" w:eastAsia="MS Mincho" w:hAnsi="Avenir Next LT Pro" w:cs="Times New Roman"/>
          <w:sz w:val="23"/>
        </w:rPr>
        <w:lastRenderedPageBreak/>
        <w:t>Non solo: l’analisi comparata dei dati pubblicati in AT può costituire per le Unioni uno strumento per comunicare ai cittadini e agli investitori i propri sforzi, i risultati e i motivi di eventuali debolezze, in tal modo riacquistando la fiducia delle comunità servite.</w:t>
      </w:r>
    </w:p>
    <w:p w14:paraId="5E93973A" w14:textId="77777777" w:rsidR="001F6034" w:rsidRPr="001F6034" w:rsidRDefault="001F6034" w:rsidP="001F6034">
      <w:pPr>
        <w:spacing w:after="60" w:line="312" w:lineRule="auto"/>
        <w:jc w:val="both"/>
        <w:rPr>
          <w:rFonts w:ascii="Avenir Next LT Pro" w:eastAsia="MS Mincho" w:hAnsi="Avenir Next LT Pro" w:cs="Times New Roman"/>
          <w:sz w:val="23"/>
        </w:rPr>
      </w:pPr>
      <w:r w:rsidRPr="001F6034">
        <w:rPr>
          <w:rFonts w:ascii="Avenir Next LT Pro" w:eastAsia="MS Mincho" w:hAnsi="Avenir Next LT Pro" w:cs="Times New Roman"/>
          <w:sz w:val="23"/>
        </w:rPr>
        <w:t>In merito ai risultati dell’analisi, nelle pagine che precedono è emerso con chiarezza un quadro estremamente eterogeneo tra una Unione e l’altra in termini di capacità amministrativa nel suo complesso, oltre che nelle singole aree e nei singoli indicatori. Un quadro con luci e ombre, che mostra la difficoltà anche solo di individuare i nomi esatti delle Unioni e la loro evoluzione nel tempo in termini di Comuni associati e di funzioni associate. Un quadro che, pertanto, conferma la necessità, e anzi l’urgenza, di una ricognizione generale del mondo Unioni e l’avvio di un Osservatorio permanente che ne monitori le variazioni e i miglioramenti. Prima delle singole azioni a sostegno della loro operatività, non dopo. Soprattutto in vista della partecipazione ai bandi per le risorse del PNRR.</w:t>
      </w:r>
    </w:p>
    <w:p w14:paraId="2420FB7B" w14:textId="15D796B5" w:rsidR="001F6034" w:rsidRPr="001F6034" w:rsidRDefault="001F6034" w:rsidP="001F6034">
      <w:pPr>
        <w:spacing w:after="200" w:line="312" w:lineRule="auto"/>
        <w:jc w:val="both"/>
        <w:rPr>
          <w:rFonts w:ascii="Palatino Linotype" w:eastAsia="MS Gothic" w:hAnsi="Palatino Linotype" w:cs="Times New Roman"/>
          <w:b/>
          <w:smallCaps/>
          <w:color w:val="256D9D"/>
          <w:kern w:val="28"/>
          <w:sz w:val="24"/>
          <w:szCs w:val="32"/>
        </w:rPr>
      </w:pPr>
    </w:p>
    <w:bookmarkEnd w:id="1"/>
    <w:sectPr w:rsidR="001F6034" w:rsidRPr="001F603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B4626" w14:textId="77777777" w:rsidR="00AB6636" w:rsidRDefault="00AB6636" w:rsidP="00AB6636">
      <w:pPr>
        <w:spacing w:after="0" w:line="240" w:lineRule="auto"/>
      </w:pPr>
      <w:r>
        <w:separator/>
      </w:r>
    </w:p>
  </w:endnote>
  <w:endnote w:type="continuationSeparator" w:id="0">
    <w:p w14:paraId="11728973" w14:textId="77777777" w:rsidR="00AB6636" w:rsidRDefault="00AB6636" w:rsidP="00AB6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B5D4" w14:textId="77777777" w:rsidR="00AB6636" w:rsidRDefault="00AB6636" w:rsidP="00AB6636">
      <w:pPr>
        <w:spacing w:after="0" w:line="240" w:lineRule="auto"/>
      </w:pPr>
      <w:r>
        <w:separator/>
      </w:r>
    </w:p>
  </w:footnote>
  <w:footnote w:type="continuationSeparator" w:id="0">
    <w:p w14:paraId="2C5D9835" w14:textId="77777777" w:rsidR="00AB6636" w:rsidRDefault="00AB6636" w:rsidP="00AB6636">
      <w:pPr>
        <w:spacing w:after="0" w:line="240" w:lineRule="auto"/>
      </w:pPr>
      <w:r>
        <w:continuationSeparator/>
      </w:r>
    </w:p>
  </w:footnote>
  <w:footnote w:id="1">
    <w:p w14:paraId="01F998E3" w14:textId="77777777" w:rsidR="00AB6636" w:rsidRPr="00CF07BB" w:rsidRDefault="00AB6636" w:rsidP="00AB6636">
      <w:pPr>
        <w:pStyle w:val="Testonotaapidipagina"/>
        <w:rPr>
          <w:b/>
          <w:bCs/>
        </w:rPr>
      </w:pPr>
      <w:r w:rsidRPr="00CF07BB">
        <w:rPr>
          <w:rStyle w:val="Rimandonotaapidipagina"/>
          <w:bCs/>
        </w:rPr>
        <w:footnoteRef/>
      </w:r>
      <w:r w:rsidRPr="00CF07BB">
        <w:rPr>
          <w:bCs/>
        </w:rPr>
        <w:t xml:space="preserve"> https://www.italiae.affariregionali.it/home/progetto/naviga-nella-sezione/obiettivi/</w:t>
      </w:r>
    </w:p>
  </w:footnote>
  <w:footnote w:id="2">
    <w:p w14:paraId="5F6ADB55" w14:textId="77777777" w:rsidR="00AB6636" w:rsidRPr="0085022F" w:rsidRDefault="00AB6636" w:rsidP="00AB6636">
      <w:pPr>
        <w:pStyle w:val="Testonotaapidipagina"/>
        <w:rPr>
          <w:b/>
          <w:bCs/>
        </w:rPr>
      </w:pPr>
      <w:r w:rsidRPr="0085022F">
        <w:rPr>
          <w:rStyle w:val="Rimandonotaapidipagina"/>
          <w:bCs/>
        </w:rPr>
        <w:footnoteRef/>
      </w:r>
      <w:r w:rsidRPr="0085022F">
        <w:rPr>
          <w:bCs/>
        </w:rPr>
        <w:t xml:space="preserve"> In seguito, AT.</w:t>
      </w:r>
    </w:p>
  </w:footnote>
  <w:footnote w:id="3">
    <w:p w14:paraId="489A991D" w14:textId="77777777" w:rsidR="00050FCB" w:rsidRPr="00F86CD8" w:rsidRDefault="00050FCB" w:rsidP="00050FCB">
      <w:pPr>
        <w:pStyle w:val="Testonotaapidipagina"/>
        <w:rPr>
          <w:b/>
          <w:bCs/>
        </w:rPr>
      </w:pPr>
      <w:r w:rsidRPr="00F86CD8">
        <w:rPr>
          <w:rStyle w:val="Rimandonotaapidipagina"/>
          <w:bCs/>
        </w:rPr>
        <w:footnoteRef/>
      </w:r>
      <w:r w:rsidRPr="00F86CD8">
        <w:rPr>
          <w:bCs/>
        </w:rPr>
        <w:t xml:space="preserve"> </w:t>
      </w:r>
      <w:r>
        <w:rPr>
          <w:bCs/>
        </w:rPr>
        <w:t>L’indice è stato</w:t>
      </w:r>
      <w:r w:rsidRPr="00F86CD8">
        <w:rPr>
          <w:bCs/>
        </w:rPr>
        <w:t xml:space="preserve"> utilizzato dalla Commissione Europea- DG Regio per un progetto pilota </w:t>
      </w:r>
      <w:r>
        <w:rPr>
          <w:bCs/>
        </w:rPr>
        <w:t>nel 2021. La metodologia si ispira a quella degli Indici di Sostenibilità ESG utilizzati sui mercati finanziari.</w:t>
      </w:r>
    </w:p>
  </w:footnote>
  <w:footnote w:id="4">
    <w:p w14:paraId="6DF0C280" w14:textId="77777777" w:rsidR="00050FCB" w:rsidRPr="00E85422" w:rsidRDefault="00050FCB" w:rsidP="00050FCB">
      <w:pPr>
        <w:pStyle w:val="Testonotaapidipagina"/>
        <w:rPr>
          <w:b/>
          <w:bCs/>
        </w:rPr>
      </w:pPr>
      <w:r w:rsidRPr="00E85422">
        <w:rPr>
          <w:rStyle w:val="Rimandonotaapidipagina"/>
          <w:bCs/>
        </w:rPr>
        <w:footnoteRef/>
      </w:r>
      <w:r w:rsidRPr="00E85422">
        <w:rPr>
          <w:bCs/>
        </w:rPr>
        <w:t xml:space="preserve"> </w:t>
      </w:r>
      <w:r>
        <w:rPr>
          <w:bCs/>
        </w:rPr>
        <w:t>L’Indice di Capacità Amministrativa comprende una sesta area: l’ambiente</w:t>
      </w:r>
      <w:r w:rsidRPr="00E85422">
        <w:rPr>
          <w:b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D3D0B"/>
    <w:multiLevelType w:val="hybridMultilevel"/>
    <w:tmpl w:val="7CDC633E"/>
    <w:lvl w:ilvl="0" w:tplc="3BC67D90">
      <w:numFmt w:val="bullet"/>
      <w:lvlText w:val="-"/>
      <w:lvlJc w:val="left"/>
      <w:pPr>
        <w:ind w:left="720" w:hanging="360"/>
      </w:pPr>
      <w:rPr>
        <w:rFonts w:ascii="Palatino Linotype" w:eastAsia="MS Gothic"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597771"/>
    <w:multiLevelType w:val="hybridMultilevel"/>
    <w:tmpl w:val="C86C504C"/>
    <w:lvl w:ilvl="0" w:tplc="FFDE6A76">
      <w:start w:val="8"/>
      <w:numFmt w:val="bullet"/>
      <w:lvlText w:val="-"/>
      <w:lvlJc w:val="left"/>
      <w:pPr>
        <w:ind w:left="502" w:hanging="360"/>
      </w:pPr>
      <w:rPr>
        <w:rFonts w:ascii="Palatino Linotype" w:eastAsiaTheme="minorEastAsia" w:hAnsi="Palatino Linotype" w:cstheme="minorBidi" w:hint="default"/>
        <w:b w:val="0"/>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15:restartNumberingAfterBreak="0">
    <w:nsid w:val="609C13CF"/>
    <w:multiLevelType w:val="hybridMultilevel"/>
    <w:tmpl w:val="EC423EDE"/>
    <w:lvl w:ilvl="0" w:tplc="C8FC1654">
      <w:numFmt w:val="bullet"/>
      <w:lvlText w:val="-"/>
      <w:lvlJc w:val="left"/>
      <w:pPr>
        <w:ind w:left="1128" w:hanging="360"/>
      </w:pPr>
      <w:rPr>
        <w:rFonts w:ascii="Palatino Linotype" w:eastAsia="MS Gothic" w:hAnsi="Palatino Linotype" w:cs="Times New Roman" w:hint="default"/>
      </w:rPr>
    </w:lvl>
    <w:lvl w:ilvl="1" w:tplc="04100003" w:tentative="1">
      <w:start w:val="1"/>
      <w:numFmt w:val="bullet"/>
      <w:lvlText w:val="o"/>
      <w:lvlJc w:val="left"/>
      <w:pPr>
        <w:ind w:left="1848" w:hanging="360"/>
      </w:pPr>
      <w:rPr>
        <w:rFonts w:ascii="Courier New" w:hAnsi="Courier New" w:cs="Courier New" w:hint="default"/>
      </w:rPr>
    </w:lvl>
    <w:lvl w:ilvl="2" w:tplc="04100005" w:tentative="1">
      <w:start w:val="1"/>
      <w:numFmt w:val="bullet"/>
      <w:lvlText w:val=""/>
      <w:lvlJc w:val="left"/>
      <w:pPr>
        <w:ind w:left="2568" w:hanging="360"/>
      </w:pPr>
      <w:rPr>
        <w:rFonts w:ascii="Wingdings" w:hAnsi="Wingdings" w:hint="default"/>
      </w:rPr>
    </w:lvl>
    <w:lvl w:ilvl="3" w:tplc="04100001" w:tentative="1">
      <w:start w:val="1"/>
      <w:numFmt w:val="bullet"/>
      <w:lvlText w:val=""/>
      <w:lvlJc w:val="left"/>
      <w:pPr>
        <w:ind w:left="3288" w:hanging="360"/>
      </w:pPr>
      <w:rPr>
        <w:rFonts w:ascii="Symbol" w:hAnsi="Symbol" w:hint="default"/>
      </w:rPr>
    </w:lvl>
    <w:lvl w:ilvl="4" w:tplc="04100003" w:tentative="1">
      <w:start w:val="1"/>
      <w:numFmt w:val="bullet"/>
      <w:lvlText w:val="o"/>
      <w:lvlJc w:val="left"/>
      <w:pPr>
        <w:ind w:left="4008" w:hanging="360"/>
      </w:pPr>
      <w:rPr>
        <w:rFonts w:ascii="Courier New" w:hAnsi="Courier New" w:cs="Courier New" w:hint="default"/>
      </w:rPr>
    </w:lvl>
    <w:lvl w:ilvl="5" w:tplc="04100005" w:tentative="1">
      <w:start w:val="1"/>
      <w:numFmt w:val="bullet"/>
      <w:lvlText w:val=""/>
      <w:lvlJc w:val="left"/>
      <w:pPr>
        <w:ind w:left="4728" w:hanging="360"/>
      </w:pPr>
      <w:rPr>
        <w:rFonts w:ascii="Wingdings" w:hAnsi="Wingdings" w:hint="default"/>
      </w:rPr>
    </w:lvl>
    <w:lvl w:ilvl="6" w:tplc="04100001" w:tentative="1">
      <w:start w:val="1"/>
      <w:numFmt w:val="bullet"/>
      <w:lvlText w:val=""/>
      <w:lvlJc w:val="left"/>
      <w:pPr>
        <w:ind w:left="5448" w:hanging="360"/>
      </w:pPr>
      <w:rPr>
        <w:rFonts w:ascii="Symbol" w:hAnsi="Symbol" w:hint="default"/>
      </w:rPr>
    </w:lvl>
    <w:lvl w:ilvl="7" w:tplc="04100003" w:tentative="1">
      <w:start w:val="1"/>
      <w:numFmt w:val="bullet"/>
      <w:lvlText w:val="o"/>
      <w:lvlJc w:val="left"/>
      <w:pPr>
        <w:ind w:left="6168" w:hanging="360"/>
      </w:pPr>
      <w:rPr>
        <w:rFonts w:ascii="Courier New" w:hAnsi="Courier New" w:cs="Courier New" w:hint="default"/>
      </w:rPr>
    </w:lvl>
    <w:lvl w:ilvl="8" w:tplc="04100005" w:tentative="1">
      <w:start w:val="1"/>
      <w:numFmt w:val="bullet"/>
      <w:lvlText w:val=""/>
      <w:lvlJc w:val="left"/>
      <w:pPr>
        <w:ind w:left="6888" w:hanging="360"/>
      </w:pPr>
      <w:rPr>
        <w:rFonts w:ascii="Wingdings" w:hAnsi="Wingdings" w:hint="default"/>
      </w:rPr>
    </w:lvl>
  </w:abstractNum>
  <w:num w:numId="1" w16cid:durableId="446318360">
    <w:abstractNumId w:val="0"/>
  </w:num>
  <w:num w:numId="2" w16cid:durableId="589587004">
    <w:abstractNumId w:val="2"/>
  </w:num>
  <w:num w:numId="3" w16cid:durableId="1851601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36"/>
    <w:rsid w:val="00050FCB"/>
    <w:rsid w:val="001F6034"/>
    <w:rsid w:val="00296538"/>
    <w:rsid w:val="00493844"/>
    <w:rsid w:val="004F378A"/>
    <w:rsid w:val="008529C8"/>
    <w:rsid w:val="00AB6636"/>
    <w:rsid w:val="00D203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5B62"/>
  <w15:chartTrackingRefBased/>
  <w15:docId w15:val="{235AFDC2-3B15-42C3-8A48-3AF3B667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AB663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B6636"/>
    <w:rPr>
      <w:sz w:val="20"/>
      <w:szCs w:val="20"/>
    </w:rPr>
  </w:style>
  <w:style w:type="character" w:styleId="Rimandonotaapidipagina">
    <w:name w:val="footnote reference"/>
    <w:basedOn w:val="Carpredefinitoparagrafo"/>
    <w:uiPriority w:val="99"/>
    <w:unhideWhenUsed/>
    <w:rsid w:val="00AB6636"/>
    <w:rPr>
      <w:vertAlign w:val="superscript"/>
    </w:rPr>
  </w:style>
  <w:style w:type="paragraph" w:customStyle="1" w:styleId="Didascalia1">
    <w:name w:val="Didascalia1"/>
    <w:basedOn w:val="Normale"/>
    <w:next w:val="Normale"/>
    <w:uiPriority w:val="99"/>
    <w:unhideWhenUsed/>
    <w:rsid w:val="00AB6636"/>
    <w:pPr>
      <w:spacing w:after="200" w:line="240" w:lineRule="auto"/>
      <w:jc w:val="both"/>
    </w:pPr>
    <w:rPr>
      <w:rFonts w:ascii="Palatino Linotype" w:eastAsia="MS Mincho" w:hAnsi="Palatino Linotype"/>
      <w:i/>
      <w:iCs/>
      <w:color w:val="082A75"/>
      <w:sz w:val="18"/>
      <w:szCs w:val="18"/>
    </w:rPr>
  </w:style>
  <w:style w:type="paragraph" w:styleId="Paragrafoelenco">
    <w:name w:val="List Paragraph"/>
    <w:basedOn w:val="Normale"/>
    <w:uiPriority w:val="34"/>
    <w:qFormat/>
    <w:rsid w:val="00AB6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7093</Characters>
  <Application>Microsoft Office Word</Application>
  <DocSecurity>0</DocSecurity>
  <Lines>59</Lines>
  <Paragraphs>16</Paragraphs>
  <ScaleCrop>false</ScaleCrop>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Caporossi</dc:creator>
  <cp:keywords/>
  <dc:description/>
  <cp:lastModifiedBy>Paola Caporossi</cp:lastModifiedBy>
  <cp:revision>5</cp:revision>
  <dcterms:created xsi:type="dcterms:W3CDTF">2022-05-15T12:37:00Z</dcterms:created>
  <dcterms:modified xsi:type="dcterms:W3CDTF">2022-05-15T12:42:00Z</dcterms:modified>
</cp:coreProperties>
</file>